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767 vom 2. Oktober 2025</w:t>
      </w:r>
    </w:p>
    <w:p>
      <w:r>
        <w:t>VD Tribunal cantonal, 2025-10-02, FR</w:t>
      </w:r>
    </w:p>
    <w:p>
      <w:r>
        <w:rPr>
          <w:b/>
        </w:rPr>
        <w:t xml:space="preserve">Quelle: </w:t>
      </w:r>
      <w:r>
        <w:t>https://mcp.opencaselaw.ch/entscheid/vd_findinfo_D_cision___2025___767</w:t>
      </w:r>
    </w:p>
    <w:p>
      <w:r>
        <w:t>FR: VD_FINDINFO Décision / 2025 / 767 du 2 octobre 2025</w:t>
      </w:r>
    </w:p>
    <w:p>
      <w:r>
        <w:t>IT: VD_FINDINFO Décision / 2025 / 767 del 2 ottobre 2025</w:t>
      </w:r>
    </w:p>
    <w:p>
      <w:pPr>
        <w:pStyle w:val="Heading2"/>
      </w:pPr>
      <w:r>
        <w:t>Regeste</w:t>
      </w:r>
    </w:p>
    <w:p>
      <w:r>
        <w:t>RISQUE DE COLLUSION, RISQUE DE RÉCIDIVE, DÉTENTION PROVISOIRE | 221 al. 1 let. b CPP (CH), 221 al. 1 let. c CPP (CH), 221 al. 1bis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Dans un premier moyen, le recourant soutient que, contrairement à ce qu’a retenu le Tribunal des mesures de contrainte, les charges qui pèsent contre lui se sont plutôt « étiolées ». Il ne conteste pas qu’il s’est bel et bien rendu dans la chambre qu’occupait D.________ au [...] en compagnie de H.________, mais prétend qu’il ignorait tout des intentions délictueuses de ce dernier.</w:t>
      </w:r>
    </w:p>
    <w:p>
      <w:r>
        <w:rPr>
          <w:b/>
        </w:rPr>
        <w:t>E. 3.2</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7B_33/2025 du 28 janvier 2025 consid. 5.2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1B_93/2023 du 7 mars 2023).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ainsi que la valeur probante des diverses déclarations. Bien plutôt, elles doivent uniquement examiner s'il existe des indices sérieux de culpabilité justifiant une telle mesure (ATF 143 IV 139 consid. 2.1 ; ATF 137 IV 122 consid. 3.2 ; ATF 124 I 208 consid. 3 ; TF 7B_33/2025 précité ; TF 7B_346/2025 du 21 mai 2025 consid. 3.2.3 ; Forster, in : Niggli/Heer/Wiprächtiger [éd.], Basler Kommentar, Schweizerische Strafprozessordnung, 3 e éd., Bâle 2023, n. 3 ad art. 221 CPP).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w:t>
      </w:r>
    </w:p>
    <w:p>
      <w:r>
        <w:rPr>
          <w:b/>
        </w:rPr>
        <w:t>E. 3.3</w:t>
      </w:r>
    </w:p>
    <w:p>
      <w:r>
        <w:t>En l’occurrence, H.________ a admis les faits et a fait des déclarations claires et complètes, qui correspondent à la version servie par la plaignante D.________, et qui concordent au demeurant quant au point de savoir quelle a été l’implication du recourant dans les faits commis au préjudice de la dernière nommée. A cela s’ajoute que, dans le rapport qu’ils ont communiqué au Ministère public le 3 septembre 2025, les enquêteurs de la police de Lausanne ont pu mettre en évidence, à partir de l’analyse des images de vidéosurveillance, le fait que le recourant n’adoptait pas une attitude passive et soumise à l’égard de son comparse, laquelle était d’ailleurs incompatible avec le fait que c’est bien lui qui a pénétré le premier dans l’appartement de la victime. C’est dire que, loin de dissiper les soupçons qui pèsent contre lui, comme il s’obstine à le faire plaider, les derniers éléments produits par l’enquête sont plutôt de nature à les renforcer. On observera d’ailleurs que, dans le premier recours qu’il avait déposé devant la Chambre de céans, le recourant s’était à juste titre abstenu de contester l’existence de soupçons suffisants de la commission d’un crime ou d’un délit. Ceux-ci demeurent suffisamment sérieux et concrets pour justifier la prolongation de la détention provisoire du recourant et, partant, l’ordonnance attaquée ne prête pas le flanc à la critique de ce point de vue. Mal fondé, le moyen doit être rejeté.</w:t>
      </w:r>
    </w:p>
    <w:p>
      <w:r>
        <w:rPr>
          <w:b/>
        </w:rPr>
        <w:t>E. 4.1</w:t>
      </w:r>
    </w:p>
    <w:p>
      <w:r>
        <w:t>Le recourant conteste l’existence d’un risque de fuite. Il reproche à l’autorité intimée de perdre de vue les circonstances particulières du dossier qui permettraient de nier ce risque, ou de le considérer comme improbable. S’il reconnaît que son centre de vie se situe en France, il souligne néanmoins que deux de ses enfants résident toujours en Suisse et qu’il bénéficie, à leur égard, d’un droit de visite s’exerçant toutes les deux semaines, durant deux heures, au Point Rencontre. A cet égard il rappelle qu’il s’est battu pour obtenir ce droit de visite et qu’il serait erroné de penser qu’il y renoncerait au vu de l’énergie déployée pour le mettre en œuvre. Il affirme ainsi vouloir exercer ce droit, ce qui l’obligerait à se rendre régulièrement à Lausanne, garantissant ainsi sa disponibilité pour les besoins de l’instruction. Il fait par ailleurs valoir qu’il est revenu en Suisse voir ses enfants deux semaines après les faits qui lui sont reprochés. Enfin, il fait état d’une situation personnelle stable, se prévalant d’un contrat de travail à durée indéterminée et d’une vie commune à Annecy avec la mère de son futur enfant.</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3 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4.3</w:t>
      </w:r>
    </w:p>
    <w:p>
      <w:r>
        <w:t>La question a déjà été examinée de manière approfondie par la Chambre de céans dans son arrêt du 7 juillet 2025 (n° 509), qui relevait que le recourant était de nationalité française, qu’il était domicilié et exerçait une activité professionnelle en France, où résidaient sa compagne – qui serait enceinte de ses œuvres –, ainsi que deux de ses enfants. Il était indéniable que son centre de vie se trouvait en France, ce qu’il reconnaissait lui-même. Hormis deux enfants issus d’une relation antérieure, avec lesquels ses liens apparaissaient récents, ténus et strictement encadrés – droit de visite au Point Rencontre –, il n’avait aucune attache avec la Suisse. Dans ces conditions, les liens familiaux que le recourant invoquait apparaissaient trop récents, limités et incertains pour atténuer de manière crédible le risque de fuite. A cela s’ajoutait la gravité des faits reprochés, passibles, s’ils étaient avérés, d’une peine privative de liberté significative, qui renforçait le risque qu’il tente de se soustraire à la procédure en retournant puis en demeurant en France, pays qui n’extrade pas ses ressortissants. Ainsi, quoi qu’en dise le recourant, ces considérations demeurent pleinement pertinentes. Il reste à craindre que la ferme volonté qu’il affiche de vouloir conserver un lien avec ses enfants qui vivent en Suisse, dont il ne conteste pas qu’elle ne s’est traduite dans les faits que depuis peu, ne résiste pas à la tentation de se soustraire aux conséquences pénibles que la procédure pénale pourrait impliquer pour lui, étant entendu que les moyens de communication modernes permettraient de toute manière de maintenir le contact avec ses enfants. Comme la Chambre de céans l’avait déjà relevé dans son arrêt du 7 juillet 2025 précité, on peine à voir, dans la circonstance qu’il est revenu en Suisse deux semaines après les faits, le gage de sa volonté de se mettre à disposition des autorités de poursuite pénale, dès lors qu’il ignorait, à ce moment-là, qu’il était sous mandat d’arrêt RIPOL. C’est donc à bon droit que le Tribunal des mesures de contrainte a retenu qu’il y avait sérieusement lieu de craindre que le recourant se soustraie à la procédure pénale ou à la sanction prévisible en prenant la fuite.</w:t>
      </w:r>
    </w:p>
    <w:p>
      <w:r>
        <w:rPr>
          <w:b/>
        </w:rPr>
        <w:t>E. 4.4</w:t>
      </w:r>
    </w:p>
    <w:p>
      <w:r>
        <w:t>; TF 1B_192/2022 du 12 mai 2022 consid. 4.1.2).</w:t>
      </w:r>
    </w:p>
    <w:p>
      <w:r>
        <w:rPr>
          <w:b/>
        </w:rPr>
        <w:t>E. 5</w:t>
      </w:r>
    </w:p>
    <w:p>
      <w:r>
        <w:t>Le recourant conteste les risques de collusion et de réitération qualifié, étant relevé qu’ils n’ont pas été retenus par le premier juge. Cela étant, il n’est pas nécessaire d’examiner ces griefs. Les conditions de la détention provisoire sont en effet alternatives, de sorte que l'existence d'un seul motif au sens de l'art. 221 al. 1 CPP – en l’occurrence, le risque de fuite – est suffisant pour confirmer la détention provisoire ordonnée à l'encontre du recourant (TF 1B_134/2023 du 5 avril 2023 consid.</w:t>
      </w:r>
    </w:p>
    <w:p>
      <w:r>
        <w:rPr>
          <w:b/>
        </w:rPr>
        <w:t>E. 6.1</w:t>
      </w:r>
    </w:p>
    <w:p>
      <w:r>
        <w:t>Le recourant propose à titre subsidiaire plusieurs mesures de substitution à la détention provisoire, à savoir une obligation de céder à titre de sûretés un montant mensuel de 1'000 euros, une obligation de conserver un emploi auprès de la société […], une obligation de se présenter deux fois par mois à un poste de police en Suisse et une interdiction de contacter de quelque manière que ce soit […] et […], et de les approcher à moins de 10 mètres.</w:t>
      </w:r>
    </w:p>
    <w:p>
      <w:r>
        <w:rPr>
          <w:b/>
        </w:rPr>
        <w:t>E. 6.2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6.3</w:t>
      </w:r>
    </w:p>
    <w:p>
      <w:r>
        <w:t>En l’occurrence, les mesures de substitution à la détention provisoire proposées par le recourant propose sont peu ou prou les mêmes que celles la Cour de céans avait écartées dans son arrêt du 7 juillet 2025 précité, auquel on peut renvoyer pour l’analyse (cf. CREP 7 juillet 2025/509 consid. 5.2). On ajoutera encore que l’obligation de conserver un emploi à Annecy et celle de se présenter régulièrement à un poste de police en Suisse ne sont pas de nature à garantir sa disponibilité pour les besoins de la procédure, dès lors que leur respect ne repose que sur la bonne volonté de l’intéressé. Il en va de même de l’engagement à céder la somme de 1000 euros sur le salaire de 1700 euros qu’il perçoit en France, proposition qui n’est assortie d’aucune garantie concrète et qui n’apparaît pas plus réaliste aujourd’hui qu’au mois de juillet dernier, compte tenu des charges, notamment d’entretien, que doit assumer le recourant et de ses ressources financières limitées.</w:t>
      </w:r>
    </w:p>
    <w:p>
      <w:r>
        <w:rPr>
          <w:b/>
        </w:rPr>
        <w:t>E. 7.1</w:t>
      </w:r>
    </w:p>
    <w:p>
      <w:r>
        <w:t>Le recourant plaide enfin que la prolongation de sa détention provisoire porterait une atteinte disproportionnée à ses intérêts privés. Il fait notamment valoir qu’un maintien en détention fragiliserait tout ce qu’il a construit. Il rappelle qu’il est dans un processus de reconnexion avec ses deux enfants en Suisse dans une période charnière pour le lien père-enfant, de sorte qu’une privation de ce lien pourrait engendrer des séquelles dans le développement à long terme de ses enfants. Il met également en avant un passé de déboires et une stabilité financière et professionnelle retrouvées ; un maintien en détention mettrait sans aucun doute en péril son futur professionnel. Enfin, il explique que ses proches souffrent de la situation.</w:t>
      </w:r>
    </w:p>
    <w:p>
      <w:r>
        <w:rPr>
          <w:b/>
        </w:rPr>
        <w:t>E. 7.2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7.3</w:t>
      </w:r>
    </w:p>
    <w:p>
      <w:r>
        <w:t>Le fait est que les conséquences négatives que le recourant déplore, notamment en lien avec ses projets familiaux et professionnels, sont inhérentes à la détention et l’intérêt privé du recourant doit céder le pas devant l’intérêt public à la bonne conduite de la procédure pénale et à la sécurité d’autrui. En outre et quoi qu’il en dise, la durée de la prolongation de la détention ordonnée n’est pas non plus disproportionnée, compte tenu des opérations auxquelles le Ministère public doit encore procéder avant de clôturer l’instruction (audition récapitulative des prévenus et opérations de clôture prescrites à l’art. 318 CPP). Enfin, la durée de la détention provisoire, même augmentée de la prolongation querellée, reste conforme au principe de proportionnalité, compte tenu des charges qui pèsent sur le recourant et de la peine qui est susceptible d’être prononcée en cas de condamnation, étant rappelé qu’il existe, comme on l’a vu, des indices sérieux de la commission d’un brigandage qualifié (art. 140 ch. 2 CP), crime passible d’une peine privative de liberté d’un an au moins.</w:t>
      </w:r>
    </w:p>
    <w:p>
      <w:r>
        <w:rPr>
          <w:b/>
        </w:rPr>
        <w:t>E. 8</w:t>
      </w:r>
    </w:p>
    <w:p>
      <w:r>
        <w:t>Il résulte de ce qui précède que le recours, manifestement mal fondé, doit être rejeté sans échange d'écritures (art. 390 al. 2 CPP) et l’ordonnance entreprise confirmée. Les frais de la procédure de recours, par 1’760 fr. (art. 20 al. 1 TFIP), seront mis à la charge du recourant, qui succombe (art. 428 al. 1 CPP). On peut se demander s’il convient d’allouer une indemnité de défenseur d’office à Me Florian Monnier dès lors que le recours était manifestement voué à l’échec (cf. TF 1B_232/2023 du 30 mai 2023 consid. 4 ; TF 1B_300/2019 du 24 juin 2019 consid. 4), le recourant n’ayant allégué aucun élément ou moyen autres que ceux figurant déjà dans ses précédentes écritures et qui avaient été soigneusement analysés avant d’être écartés par le Tribunal des mesures de contrainte – la dernière fois le 15 août 2025 – respectivement par la Chambre de céans. Cela étant, il sera tout de même retenu 2h00 heures d’activité nécessaire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ronds. Cette indemnité sera, à l’instar des frais, mise à la charge du recourant. Le recourant sera tenu de rembourser à l’Etat l’indemnité allouée à son défenseur d’office dès que sa situation financière le permettra (art. 135 al. 4 CPP CPP). Par ces motifs, la Chambre des recours pénale prononce : I. Le recours est rejeté. II. L’ordonnance du 16 septembre 2025 est confirmée. III. L’indemnité allouée à Me Florian Monnier, défenseur d’office de J.________, est fixée à 397 fr. (trois cent nonante-sept francs). IV. Les frais d’arrêt, par 1’760 fr. (mille sept cent soixante francs), ainsi que l'indemnité allouée à Me Florian Monnier, par 397 fr. (trois cent nonante-sept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Florian Monnier, avocat (pour J.________),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