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717 vom 15. September 2025</w:t>
      </w:r>
    </w:p>
    <w:p>
      <w:r>
        <w:t>VD Tribunal cantonal, 2025-09-15, FR</w:t>
      </w:r>
    </w:p>
    <w:p>
      <w:r>
        <w:rPr>
          <w:b/>
        </w:rPr>
        <w:t xml:space="preserve">Quelle: </w:t>
      </w:r>
      <w:r>
        <w:t>https://mcp.opencaselaw.ch/entscheid/vd_findinfo_D_cision___2025___717</w:t>
      </w:r>
    </w:p>
    <w:p>
      <w:r>
        <w:t>FR: VD_FINDINFO Décision / 2025 / 717 du 15 septembre 2025</w:t>
      </w:r>
    </w:p>
    <w:p>
      <w:r>
        <w:t>IT: VD_FINDINFO Décision / 2025 / 717 del 15 settembre 2025</w:t>
      </w:r>
    </w:p>
    <w:p>
      <w:pPr>
        <w:pStyle w:val="Heading2"/>
      </w:pPr>
      <w:r>
        <w:t>Regeste</w:t>
      </w:r>
    </w:p>
    <w:p>
      <w:r>
        <w:t>DÉTENTION PROVISOIRE, PROLONGATION, RISQUE DE COLLUSION, RISQUE DE RÉCIDIVE, MESURE DE SUBSTITUTION À LA DÉTENTION, ADMISSION DE LA DEMANDE | 221 al. 1 let. b CPP (CH), 221 al. 1bis CPP (CH), 237 CPP (CH)</w:t>
      </w:r>
    </w:p>
    <w:p>
      <w:pPr>
        <w:pStyle w:val="Heading2"/>
      </w:pPr>
      <w:r>
        <w:t>Erwägungen</w:t>
      </w:r>
    </w:p>
    <w:p>
      <w:r>
        <w:rPr>
          <w:b/>
        </w:rPr>
        <w:t>E. 1</w:t>
      </w:r>
    </w:p>
    <w:p>
      <w:r>
        <w:t>A [...], rue [...], le 8 mars 2025 , alors que D.________ s’occupait de la conciergerie de l’immeuble, N.________ l’a insultée, en la traitant notamment de grosse pute.</w:t>
      </w:r>
    </w:p>
    <w:p>
      <w:r>
        <w:rPr>
          <w:b/>
        </w:rPr>
        <w:t>E. 2</w:t>
      </w:r>
    </w:p>
    <w:p>
      <w:r>
        <w:t>A [...], le 7 avril 2025 , consécutivement à la résiliation extraordinaire de son bail à loyer, N.________ a faussement accusé D.________, dans le cadre d’une requête de conciliation du 7 avril 2025, de le harceler, de lui avoir fait des avances ou encore de s’être montrée possessive et intrusive à son égard.</w:t>
      </w:r>
    </w:p>
    <w:p>
      <w:r>
        <w:rPr>
          <w:b/>
        </w:rPr>
        <w:t>E. 3</w:t>
      </w:r>
    </w:p>
    <w:p>
      <w:r>
        <w:t>A [...], rue [...], au premier étage, le 23 mai 2025, vers 21h00 , alors que J.________ a sonné chez N.________ pour lui demander de faire moins de bruit, ce dernier lui a ouvert sa porte, l’a insultée, puis lui a asséné un coup de couteau au mollet gauche et au niveau de l’avant-bras gauche.</w:t>
      </w:r>
    </w:p>
    <w:p>
      <w:r>
        <w:rPr>
          <w:b/>
        </w:rPr>
        <w:t>E. 3.1</w:t>
      </w:r>
    </w:p>
    <w:p>
      <w:r>
        <w:t>Sans pour autant reconnaître les faits, le recourant ne conteste, à juste titre, plus formellement l’existence de forts soupçons de culpabilité à son encontre. Il est en effet mis en cause par plusieurs personnes, de manière cohérente, dont les dires sont corroborés par les constatations des policiers intervenus le jour des faits ainsi que des examens médicaux. Il conteste en revanche l’existence d’un risque de collusion. Il fait valoir que le témoin qu’il reste à entendre serait de nature à écarter ce risque à bref délai et qu’une entente avec les plaignants était exclue s’il était placé en régime d’exécution de peine. Le recourant relève en outre que l’autorité inférieure n’a pas argumenté l’existence de ce risque dans l’ordonnance querellée se contentant de se rallier à l’avis du Ministère public, ce qui « frôlait » la violation de son droit d’être entendu.</w:t>
      </w:r>
    </w:p>
    <w:p>
      <w:r>
        <w:rPr>
          <w:b/>
        </w:rPr>
        <w:t>E. 3.2</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1B_132/2022 du 25 mars 2022 consid. 3.1 ; TF 1B_358/2021 du 16 juillet 2021 consid. 4.2).</w:t>
      </w:r>
    </w:p>
    <w:p>
      <w:r>
        <w:rPr>
          <w:b/>
        </w:rPr>
        <w:t>E. 3.2.4</w:t>
      </w:r>
    </w:p>
    <w:p>
      <w:r>
        <w:t>; ATF 137 IV 13 consid.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150 IV 360 précité ; TF 7B_428/2025 précité consid. 2.2.2).</w:t>
      </w:r>
    </w:p>
    <w:p>
      <w:r>
        <w:rPr>
          <w:b/>
        </w:rPr>
        <w:t>E. 3.3</w:t>
      </w:r>
    </w:p>
    <w:p>
      <w:r>
        <w:t>En l’espèce, trois habitants de l’immeuble où réside le prévenu, soit X.________, J.________ et Q.________, ainsi que la concierge D.________, se sont plaints des actes du prévenu. Il paraît ainsi difficilement envisageable que le recourant parvienne à accorder sa version des faits – qui est totalement contraire – avec celle des personnes précitées, et ce même si les versions de celles-ci diffèrent quelque peu. Certes, le recourant les a menacées pour le cas où elles portaient plainte. Toutefois, c’est ce qu’elles ont finalement fait et on voit mal comment le recourant parviendrait maintenant à les convaincre de retirer leur plainte. Enfin, l’audition du dernier témoin [...], connaissance du recourant, peut intervenir à brève échéance et ne justifie pas une prolongation de la détention de trois mois. Finalement, le risque de collusion ne pourrait exister qu’en lien avec l’audition du témoin précité. La question de l’existence de ce risque peut toutefois demeurée ouverte dès lors que le risque de réitération qualifié est concret (cf. infra consid. 4.3) et que les conditions de l’art. 221 al. 1 CPP sont alternatives (cf. TF 7B_868/2023 du 1 er décembre 2023 consid. 5.4). Fort du constat qui précède, la Chambre de céans se dispensera d’examiner la conformité de la motivation de l’autorité inférieure sur l’existence du risque de collusion avec les exigences de motivation déduites par le Tribunal fédéral de l’art. 29 Cst.</w:t>
      </w:r>
    </w:p>
    <w:p>
      <w:r>
        <w:rPr>
          <w:b/>
        </w:rPr>
        <w:t>E. 4</w:t>
      </w:r>
    </w:p>
    <w:p>
      <w:r>
        <w:t>A [...], rue [...], au premier étage, le 13 juin 2025, vers 18h00 , alors que X.________ descendait au 1 er étage pour rejoindre J.________, il a croisé son voisin de palier, N.________, qui montait chez lui. Sans raison, N.________ a insulté X.________ en le traitant notamment de « connard » et « fils de pute », avant de lui asséner un coup de poing au visage, ce qui l’a étourdi. Le prévenu a ensuite poussé son voisin dans les escaliers, le faisant dévaler les marches, avant de le rejoindre et de lui asséner plusieurs coups de pieds et de poings alors que X.________ était toujours au sol. Ensuite, le prévenu a saisi la tête du prénommé et l’a tapée contre une armoire, ce qui l’a fait saigner et perdre connaissance quelques instants. Après, en voyant que J.________ était sortie de son appartement pour intervenir, N.________ l’a violemment saisie par le bras et l’a projetée contre un mur, tout en la menaçant en lui disant « je vais te finir » et « je vais te tuer salope ». Après que J.________ a crié au secours et que X.________ a repris connaissance, ils se sont réfugiés chez une de leur voisine, Q.________, laquelle a appelé les secours. » b) Par déterminations du 2 septembre 2025, N.________, par son défenseur d’office, a fait valoir que la plainte déposée par D.________ ne concernait que des infractions contre l’honneur, ce qui ne justifiait pas une détention provisoire, et que X.________ et J.________ s’étaient contredits dans leurs déclarations et avaient changé de version, ce qui mettait à mal leur crédibilité et venait écarter tout soupçon sérieux de commission d’infractions. Il a ensuite contesté qu’un risque de collusion demeure concret, dès lors que les plaignants avaient déjà été réentendus et que seul un témoin devait encore l’être, étant précisé que son audition pouvait intervenir avant l’échéance de sa détention provisoire fixée le 12 septembre 2025. Même si le risque de collusion devait être retenu, il a proposé des mesures de substitution, en particulier l’exécution des peines privatives de liberté prononcées à son encontre, tel que le demandait l’OEP. Le prévenu a également contesté l’existence des risques de réitération qualifié et de passage à l’acte, soutenant qu’il aspirait à pouvoir vivre tranquillement, que de toute manière les faits reprochés n’étaient pas suffisamment graves sous l’angle de l’art. 221 al. 1 bis CPP et que le Ministère public ne démontrait pas qu’un danger imminent et sérieux de passage à l’acte existerait. Il a également invoqué, pour pallier ce risque, l’exécution des peines privatives de liberté précédemment prononcées à son encontre, ce qui n’empêcherait par ailleurs pas le déroulement de l’expertise psychiatrique. c) Par ordonnance du 3 septembre 2025, le Tribunal des mesures de contrainte a prolongé la détention provisoire de N.________ (I), a fixé la durée maximale de la prolongation à 3 mois, soit au plus tard jusqu’au 11 décembre 2025 (II), et a dit que les frais de l’ordonnance, par 225 fr., suivaient le sort de la cause (III). Le tribunal a maintenu que des soupçons sérieux existaient à l’encontre du prévenu, se référant à sa précédente ordonnance et relevant qu’aucun élément nouveau n’était venu contredire ses considérations. Il a relevé que depuis lors, les plaintes déposées par D.________ avaient été jointes, ce qui renforçait les soupçons de culpabilité. Le tribunal a ensuite considéré que le risque de collusion demeurait concret, dès lors que le prévenu contestait les faits et qu’en cas de libération, il était à craindre qu’il tente de faire pression sur les plaignants pour qu’ils retirent leur plainte ou changent leur version des faits. S’agissant du risque de réitération qualifié, le tribunal a indiqué qu’il était reproché au prévenu d’avoir gravement porté atteinte à l’intégrité physique de ses voisins, que ses antécédents pénaux démontraient qu’il s’était déjà montré violent envers autrui et qu’il n’avait pas hésité à se munir d’un tournevis pour frapper à deux reprises dans le dos une personne, que les faits qui lui étaient reprochés étaient montés en gravité et qu’il faisait état d’une absence totale de prise de conscience. En outre, la direction de la procédure était dans l’attente du rapport d’expertise psychiatrique, dont seules les conclusions pouvaient déterminer s’il existait des moyens pour pallier ce risque. Le tribunal a enfin considéré qu’aucune mesure de substitution n’était apte à parer aux risques retenus, précisant que le passage en exécution de peine n’était pas envisageable compte tenu du risque de collusion. C. Par acte du 5 septembre 2025, N.________, par son défenseur d’office, a recouru contre cette ordonnance, en concluant, avec suite de frais, principalement, à sa réforme en ce sens que sa détention provisoire prendra fin le 12 septembre 2025 et qu’il est autorisé à purger ses peines privatives de liberté entrées en force. Subsidiairement, il a conclu à la réforme de l’ordonnance querellée en ce sens que sa détention provisoire n’est prolongée que d’un mois et que le Ministère public est appelé à conduire l’audition du dernier témoin dans ce laps de temps, puis qu’il est autorisé à purger ses peines privatives de liberté entrées en force. Plus subsidiairement encore, il a conclu à l’annulation de l’ordonnance querellée et au renvoi de la cause au Tribunal des mesures de contrainte pour nouvelle décision dans le sens des considérants de l’arrêt à intervenir. Le 11 septembre 2025, la Présidente du Tribunal des mesures de contrainte a indiqué qu’elle renonçait à se déterminer sur le recours et qu’elle se référait intégralement à l’ordonnance entreprise. Le même jour, le Ministère public a conclu au rejet du recours et s’est intégralement référé à sa demande de prolongation de la détention provisoire du 29 août 2025. En droit : 1. 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par un détenu qui 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 er janvier 2024 [RO 2023 p. 468]). Selon le nouvel art. 221 al. 1 bis CPP, en vigueur depuis le 1 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(a) ; en outre, il y a un danger sérieux et imminent qu’il commette un crime grave du même genre (b). Enfin, la détention peut être ordonnée s’il y a sérieusement lieu de craindre qu’une personne passe à l’acte après avoir menacé de commettre un crime grave (art. 221 al. 2 CPP). 3.</w:t>
      </w:r>
    </w:p>
    <w:p>
      <w:r>
        <w:rPr>
          <w:b/>
        </w:rPr>
        <w:t>E. 4.1</w:t>
      </w:r>
    </w:p>
    <w:p>
      <w:r>
        <w:t>Le recourant conteste ensuite l’existence d’un risque de réitération qualifié. Il soutient que son passage au régime de l’exécution de peine est une mesure adéquate pour prémunir ce risque.</w:t>
      </w:r>
    </w:p>
    <w:p>
      <w:r>
        <w:rPr>
          <w:b/>
        </w:rPr>
        <w:t>E. 4.2</w:t>
      </w:r>
    </w:p>
    <w:p>
      <w:r>
        <w:t>Avec l'adoption de ce nouvel article, le législateur a introduit un motif légal exceptionnel de mise en détention provisoire ou pour des motifs de sûreté, à savoir un risque de récidive qualifié (Message du 28 août 2019 concernant la modification du Code de procédure pénale ; FF 2019, pp. 6351 ss). Ce risque a été introduit dans le but de compenser le fait qu'il est renoncé à l'exigence d'infractions préalables à celle(s) qui fonde(nt) la mise en détention provisoire ou pour des motifs de sûreté ; cela étant, ce motif exceptionnel de détention ne peut être envisageable qu'aux conditions strictes, cumulatives, énumérées aux let. a et b de l'art. 221 al. 1 bis CPP (TF 7B_428/2025 du 19 juin 2025 consid. 2.2.1). La prévention du risque de récidive doit permettre de faire prévaloir l'intérêt de la sécurité publique sur la liberté personnelle du prévenu (ATF 150 IV 360 consid.</w:t>
      </w:r>
    </w:p>
    <w:p>
      <w:r>
        <w:rPr>
          <w:b/>
        </w:rPr>
        <w:t>E. 4.3</w:t>
      </w:r>
    </w:p>
    <w:p>
      <w:r>
        <w:t>En l’espèce, le casier judiciaire du recourant fait état de trois condamnations entre 2015 et 2023, ce qui démontre une activité délictuelle soutenue et ne faiblissant point. L’autorité inférieure a constaté à bon droit que le recourant s’en était déjà pris physiquement à autrui à l’aide d’un tournevis et qu’actuellement l’instruction pénale portait notamment sur des coups de couteau que le recourant aurait asséné à l’une des plaignantes au mollet gauche et au niveau de l’avant-bras gauche. Au vu de ces éléments, l’appréciation du tribunal selon laquelle les infractions montent en gravité ne peut qu’être confirmée. En outre, le recourant a menacé de s’en prendre à la fille mineure de J.________ ainsi qu’à cette dernière si elle venait à déposer plainte contre lui, ce qu’elle a finalement fait. Par ailleurs, le Ministère public est dans l’attente du dépôt de l’expertise psychiatrique mise en œuvre à l’égard du recourant et il sied de constater que seules les conclusions des experts seront à même de déterminer le danger qu’il représente pour la sécurité publique et s’il existe des moyens pour y pallier. Dans l’intervalle, la sécurité publique doit primer l’intérêt du prévenu à être libéré. Le recourant conteste l’existence de ce risque uniquement en faisant valoir que son passage au régime de l’exécution de peine serait une mesure apte à parer celui-ci. Cette hypothèse sera examinée sous l’angle des mesures de substitution (cf. infra consid. 5.3). Compte tenu de ce qui précède, la prolongation de la détention provisoire peut être confirmée sur la seule base du risque de réitération qualifié.</w:t>
      </w:r>
    </w:p>
    <w:p>
      <w:r>
        <w:rPr>
          <w:b/>
        </w:rPr>
        <w:t>E. 5.1</w:t>
      </w:r>
    </w:p>
    <w:p>
      <w:r>
        <w:t>Le recourant requiert son passage en exécution de peine, estimant que la protection de la sécurité publique serait ainsi suffisamment assurée quel que soit le régime carcéral. Il fait valoir que l’OEP a interpelé le Ministère public pour demander l’exécution des peines.</w:t>
      </w:r>
    </w:p>
    <w:p>
      <w:r>
        <w:rPr>
          <w:b/>
        </w:rPr>
        <w:t>E. 5.2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3 e éd., Bâle 2025,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 e éd., Bâle, 2019, n. 2 ad art. 237 CPP). L'exécution de peines privatives de liberté découlant de précédentes condamnations constitue une mesure de substitution moins sévère que la détention provisoire et est en principe compatible avec le but de celle-ci, tout particulièrement lorsqu'il s'agit de prévenir des risques de fuite et de récidive (ATF 142 IV 367 consid. 2.2 ; TF 1B_179/2021 du 28 avril 2021 consid. 3.3 ; Moreillon/Parein-Reymond, op. cit., n. 5 ad art. 237 CPP ; Frei/Zuberbühler Elsässer, in : Donatsch et al. [édit.], Schulthess Kommentar, Kommentar zur schweizerischen Prozessordnung, 3 e éd., t. II, Zurich 2020, n. 9g ad art. 237 CPP ; Manfrin/Vogel, in : Niggli et al. [édit.], Basler Kommentar, Schweizerische Strafprozessordnung, Jugendstrafprozes-sordnung, 3 e éd., Bâle 2023, n° 84 ad art. 237 CPP).</w:t>
      </w:r>
    </w:p>
    <w:p>
      <w:r>
        <w:rPr>
          <w:b/>
        </w:rPr>
        <w:t>E. 5.3</w:t>
      </w:r>
    </w:p>
    <w:p>
      <w:r>
        <w:t>Admettant le risque de collusion et celui de réitération qualifié, le Tribunal des mesures de contrainte – malgré le courrier du 31 juillet 2025 de l’OEP demandant d’être informé de la situation – n’a pas analysé la compatibilité en l’espèce de l’exécution par le recourant de ses peines privatives de liberté antérieures à titre de mesure de substitution, le cas échéant avec des mesures d’accompagnement telles que l’interdiction de téléphones et/ou de contacts généralisées ou spécifiques, avec ces risques, et en particulier avec le risque de réitération qualifié. La Chambre de céans, bien qu’elle bénéficie d’un plein pouvoir de cognition en fait et en droit, ne dispose pas des éléments factuels nécessaires, notamment de la possibilité d’organiser prochainement l’audition du témoin [...], pour trancher cette question. Il convient ainsi d’annuler l’ordonnance entreprise et de renvoyer le dossier au Tribunal des mesures de contrainte afin qu’il examine la possibilité d’ordonner la mesure de substitution susmentionnée en lieu et place de la détention provisoire.</w:t>
      </w:r>
    </w:p>
    <w:p>
      <w:r>
        <w:rPr>
          <w:b/>
        </w:rPr>
        <w:t>E. 6</w:t>
      </w:r>
    </w:p>
    <w:p>
      <w:r>
        <w:t>En définitive, le recours doit être admis, l’ordonnance entreprise annulée et le dossier de la cause renvoyé au Tribunal des mesures de contrainte pour nouvelle décision dans le sens des considérants. Il y a lieu d’allouer à Me Jonathan Kuntzmann, défenseur d’office du recourant, une indemnité pour la procédure de recours. A défaut de liste d’opérations et compte tenu du mémoire de recours déposé, il convient de retenir 5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900 francs. Viennent s’y ajouter des débours forfaitaires à hauteur de 2 % des honoraires admis (art. 3bis al. 1 RAJ), soit 18 fr., et la TVA au taux de 8,1 % sur le tout, par 74 fr. 35. L’indemnité d’office s’élève ainsi à 993 fr. au total en chiffres arrondis. Les frais de la procédure de recours, qui sont constitués en l’espèce de l’émolument d’arrêt, par 1’540 fr. (art. 20 al. 1 TFIP), et de l’indemnité due au défenseur d’office (art. 422 al. 1 et 2 let. a CPP), par 993 fr., seront laissés à la charge de l’Etat. Par ces motifs, la Chambre des recours pénale prononce : I. Le recours est admis. II. L’ordonnance du 5 septembre 2025 est annulée. III. Le dossier de la cause est renvoyé au Tribunal des mesures de contrainte pour qu’il procède dans le sens des considérants. IV. L’indemnité allouée à Me Jonathan Kuntzmann, défenseur d’office de N.________, est fixée à 993 fr. (neuf cent nonante-trois francs). V. Les frais d’arrêt, par 1’540 fr. (mille cinq cent quarante francs), ainsi que l’indemnité allouée à Me Jonathan Kuntzmann, par 993 fr. (neuf cent nonante-trois francs), sont laissés à la charge de l’Etat. VI. L’arrêt est exécutoire. Le président :               Le greffier : Du Le présent arrêt, dont la rédaction a été approuvée à huis clos, est notifié, par l'envoi d'une copie complète, à : - Me Jonathan Kuntzmann, avocat (pour N.________),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