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656 vom 22. August 2025</w:t>
      </w:r>
    </w:p>
    <w:p>
      <w:r>
        <w:t>VD Tribunal cantonal, 2025-08-22, FR</w:t>
      </w:r>
    </w:p>
    <w:p>
      <w:r>
        <w:rPr>
          <w:b/>
        </w:rPr>
        <w:t xml:space="preserve">Quelle: </w:t>
      </w:r>
      <w:r>
        <w:t>https://mcp.opencaselaw.ch/entscheid/vd_findinfo_D_cision___2025___656</w:t>
      </w:r>
    </w:p>
    <w:p>
      <w:r>
        <w:t>FR: VD_FINDINFO Décision / 2025 / 656 du 22 août 2025</w:t>
      </w:r>
    </w:p>
    <w:p>
      <w:r>
        <w:t>IT: VD_FINDINFO Décision / 2025 / 656 del 22 agosto 2025</w:t>
      </w:r>
    </w:p>
    <w:p>
      <w:pPr>
        <w:pStyle w:val="Heading2"/>
      </w:pPr>
      <w:r>
        <w:t>Regeste</w:t>
      </w:r>
    </w:p>
    <w:p>
      <w:r>
        <w:t>CONTRAINTE{DROIT PÉNAL}, DIFFAMATION, CALOMNIE, ORDONNANCE DE CLASSEMENT, IN DUBIO PRO DURIORE | 173 CP, 174 CP, 181 CP, 319 al. 1 CPP (CH)</w:t>
      </w:r>
    </w:p>
    <w:p>
      <w:pPr>
        <w:pStyle w:val="Heading2"/>
      </w:pPr>
      <w:r>
        <w:t>Erwägungen</w:t>
      </w:r>
    </w:p>
    <w:p>
      <w:r>
        <w:rPr>
          <w:b/>
        </w:rPr>
        <w:t>E. 1.1</w:t>
      </w:r>
    </w:p>
    <w:p>
      <w:r>
        <w:t>Les parties peuvent attaquer une ordonnance de classement rendue par le ministère public en application des art. 319 CPP dans les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devant l’autorité compétente, par une partie plaignante qui a qualité pour recourir (art. 382 al. 1 CPP) et dans les formes prescrites (art. 385 al. 1 CPP), le recours est recevable, sous réserve de ce qui sera exposé ci-dessous (cf. infra consid. 2.3).</w:t>
      </w:r>
    </w:p>
    <w:p>
      <w:r>
        <w:rPr>
          <w:b/>
        </w:rPr>
        <w:t>E. 2</w:t>
      </w:r>
    </w:p>
    <w:p>
      <w:r>
        <w:t>La recourante soutient tout d’abord que la lettre litigieuse du 29 janvier 2024 contiendrait des propos attentatoires à son honneur, puisqu’elle y serait accusée d’avoir proféré des insultes, d’avoir adressé des doigts d’honneur, d’avoir qualifié le fils de ses voisins de « dingue », d’avoir affirmé que ces derniers étaient en situation illégale et d’avoir sollicité la police à plusieurs reprises sans raison valable. Elle considère ensuite que ces allégations ne sauraient être tenues pour conformes à la vérité ni même articulées de bonne foi, dès lors qu’elle n’aurait jamais fait l’objet d’une condamnation pénale, qu’elle se serait excusée par écrit des propos tenus le 14 juin 2023 et que le rapport de police confirmerait le bien-fondé de ses doléances relatives à des nuisances sonores. Enfin, elle conteste l’appréciation du Ministère public selon laquelle les signataires de la lettre n’auraient pas agi dans le dessein de lui nuire. Elle soutient au contraire que la procureure aurait dû envisager l’hypothèse d’une action concertée visant à la contraindre à déménager ou à restreindre l’exercice de ses droits de locataire, ce qui pourrait, selon elle, relever d’une tentative de contrainte. Au vu de ce qui précède, invoquant le principe in dubio pro duriore , elle considère que l’enquête doit être complétée, notamment par l’audition des parties par le Ministère public, afin de permettre une appréciation de leur crédibilité.</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références citées ; TF 6B_957/2021 du 24 mars 2022 consid. 2.1).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w:t>
      </w:r>
    </w:p>
    <w:p>
      <w:r>
        <w:rPr>
          <w:b/>
        </w:rPr>
        <w:t>E. 2.1.1</w:t>
      </w:r>
    </w:p>
    <w:p>
      <w:r>
        <w:t>;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137 IV 313 consid. 2.1.3). Aussi, il est constant qu'en matière d'infractions contre l'honneur, les mêmes termes n'ont pas nécessairement la même portée suivant le contexte dans lequel ils sont employés (ATF 148 IV 409 consid. 2.3.2 ; ATF 145 IV 462 consid. 4.2.3 ; ATF 118 IV 248 consid. 2b). Selon la jurisprudence, un texte doit être analysé non seulement en fonction des expressions utilisées, prises séparément, mais aussi selon le sens général qui se dégage du texte dans son ensemble (ATF 137 IV 313 consid.</w:t>
      </w:r>
    </w:p>
    <w:p>
      <w:r>
        <w:rPr>
          <w:b/>
        </w:rPr>
        <w:t>E. 2.1.3</w:t>
      </w:r>
    </w:p>
    <w:p>
      <w:r>
        <w:t>; TF 6B_1120/2023 du 20 juin 2024 consid. 1.1.1). Pour qu’il y ait diffamation, il n’est pas nécessaire que l’auteur ait affirmé des faits qui rendent méprisables la personne visée ; il suffit qu’il ait jeté sur elle le soupçon d’avoir eu un comportement contraire aux règles de l’honneur ou qu’il propage – même en citant sa source ou en affirmant ne pas y croire – de telles accusations ou de tels soupçons (ATF 117 IV 27 consid. 2c ; TF 6B_450 /2024 du 8 août 2024 consid. 1.1.2 ; TF 6B_1120/2023 précité). Du point de vue subjectif, il suffit que l'auteur ait eu conscience du caractère attentatoire à l'honneur de ses propos et qu'il les ait néanmoins proférés ; il n'est pas nécessaire qu'il ait eu la volonté de blesser la personne visée (ATF 137 IV 313 consid. 2.1.6 ; TF 6B_450/2024 précité ; TF 6B_1120/2023 précité).</w:t>
      </w:r>
    </w:p>
    <w:p>
      <w:r>
        <w:rPr>
          <w:b/>
        </w:rPr>
        <w:t>E. 2.2.1.1</w:t>
      </w:r>
    </w:p>
    <w:p>
      <w:r>
        <w:t>Aux termes de l'art. 173 ch. 1 CP, se rend coupable de diffamation quiconque, en s'adressant à un tiers, accuse une personne ou jette sur elle le soupçon de tenir une conduite contraire à l’honneur, ou de tout autre fait propre à porter atteinte à sa considération, ou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w:t>
      </w:r>
    </w:p>
    <w:p>
      <w:r>
        <w:rPr>
          <w:b/>
        </w:rPr>
        <w:t>E. 2.2.1.2</w:t>
      </w:r>
    </w:p>
    <w:p>
      <w:r>
        <w:t>Aux termes de l’art. 173 ch. 2 et 3 CP, l’auteur n’encourt aucune peine s'il prouve que les allégations qu'il a articulées ou propagées sont conformes à la vérité ou qu'il a des raisons sérieuses de les tenir de bonne foi pour vraies. En revanche,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La jurisprudence et la doctrine interprètent de manière restrictive les conditions énoncées à l'art. 173 ch. 3 CP. En principe, l'accusé doit être admis à faire les preuves libératoires et ce n'est qu'exceptionnellement que cette possibilité doit lui être refusée (ATF 132 IV 112 consid. 3.1 et les références citées ; TF 6B_425/2024 du 17 janvier 2025 consid. 3.2 ; TF 6B_450/2024 du 8 août 2024 consid. 1.1.3).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137 IV 313 consid. 2.4.4 ; ATF 132 IV 112 consid. 3.1 ; TF 6B_425/2024 précité). 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 TF 6B_425/2024 précité ; TF 6B_767/2023 du 29 novembre 2023 consid. 4.6.1). L’exigence de la preuve de la bonne foi est moins stricte si l’auteur souhaite sauvegarder ses intérêts légitimes (Dupuis et al. [éd.], Petit Commentaire, Code pénal, 2 e éd., Bâle 2017, n. 38 ad art. 173 CP et les références citées).</w:t>
      </w:r>
    </w:p>
    <w:p>
      <w:r>
        <w:rPr>
          <w:b/>
        </w:rPr>
        <w:t>E. 2.2.2</w:t>
      </w:r>
    </w:p>
    <w:p>
      <w:r>
        <w:t>Se rend coupable de calomnie au sens de l'art. 174 ch. 1 CP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(TF 6B_1040/2022 du 23 août 2023 consid. 3.1.1 ; TF 6B_1215/2020 du 22 avril 2021 consid. 3.1 ; TF 6B_1254/2019 du 16 mars 2020 consid. 6.1). Sur le plan objectif, la calomnie implique donc la formulation ou la propagation d'allégations de fait fausses, qui soient attentatoires à l'honneur de la personne visée (TF 6B_1215/2020 précité ; TF 6B_1254/2019 précité ; TF 6B_676/2017 du 15 décembre 2017 consid. 3.1).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 TF 6B_1215/2020 précité ; TF 6B_1254/2019 précité).</w:t>
      </w:r>
    </w:p>
    <w:p>
      <w:r>
        <w:rPr>
          <w:b/>
        </w:rPr>
        <w:t>E. 2.2.3</w:t>
      </w:r>
    </w:p>
    <w:p>
      <w:r>
        <w:t>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Il peut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JdT 2017 IV 141 ; ATF 137 IV 326 consid. 3.3.1, JdT 2012 IV 279).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TF 6B_20/2024 du 17 décembre 2024 consid. 15.1 et les références citées).</w:t>
      </w:r>
    </w:p>
    <w:p>
      <w:r>
        <w:rPr>
          <w:b/>
        </w:rPr>
        <w:t>E. 2.3.1</w:t>
      </w:r>
    </w:p>
    <w:p>
      <w:r>
        <w:t>En l’espèce, le Ministère public paraît avoir d’emblée accordé davantage de crédit aux affirmations contenues dans le courrier litigieux du 29 janvier 2024 qu’aux déclarations de la recourante, retenant, en substance, que cette dernière troublerait la tranquillité de l’immeuble, comme l’attesteraient notamment les excuses formulées en lien avec un épisode survenu en 2023. A cet égard, il faut encore relever que le dossier comporte plusieurs courriels émanant d’anciens locataires, décrivant la recourante comme intolérante et sujette à des réactions excessives face au bruit, l’un d’eux évoquant également des « problèmes d’ordre psychologique » (P. 11/1 à 11/4). Cela étant, la lecture des divers courriers échangés entre la recourante et la gérance de l’immeuble en 2023 et 2024 (cf. P. 14/1), notamment celui du 30 juin 2023, incite à davantage de prudence quant à l’origine du conflit de voisinage divisant les parties. Ces pièces sont en effet de nature à interroger sur d’éventuelles nuisances sonores répétées provenant de l’appartement occupé par la famille J.________. Il apparaît en outre, d’une part, que la recourante a présenté, en juin 2023, des excuses écrites à ses voisins (P. 14, D et E), ce qui atteste de sa capacité à reconnaître ses torts lorsque son comportement dépasse les limites admissibles. D’autre part, elle a sollicité une médiation (P. 14, G), démarche qui, bien qu’ayant échoué, traduit une volonté de rechercher une solution amiable au conflit. Enfin, le dossier contient des photographies du chemin d’accès à l’immeuble, sur lesquelles figurent des inscriptions injurieuses à l’égard de la recourante (P. 14/1, E), circonstance révélatrice du climat délétère entourant cette affaire. Dans ce contexte, la lettre incriminée du 29 janvier 2024 comporte indéniablement des propos attentatoires à l’honneur de la recourante, en la présentant comme une personne insultant ses voisins, leur adressant des gestes obscènes, se montrant intolérante envers un enfant atteint d’autisme et ayant provoqué le départ d’une famille de l’immeuble. L’élément objectif de l’infraction de diffamation (art. 173 ch. 1 CP), respectivement de calomnie (art. 174 ch. 1 CP), est ainsi réalisé. En revanche, il n’est à ce stade pas possible de déterminer si les preuves libératoires au sens de l’art. 173 ch. 2 CP peuvent être admises, un doute important subsistant à cet égard. L’ordonnance entreprise doit donc, pour ce motif, être annulée et le dossier de la cause renvoyé au Ministère public pour qu’il complète l’instruction, en particulier en procédant à l’audition des parties et, le cas échéant, d’autres locataires actuels de l’immeuble. Il lui appartiendra également de requérir la production du dossier de la gérance, celui-ci étant susceptible de fournir un aperçu complet et objectif des doléances formulées par les différents locataires au fil du temps. La consultation de ce dossier permettra notamment d’évaluer, dans ce contexte, si les signataires de la lettre litigieuse pouvaient raisonnablement considérer comme vraies les allégations qu’ils ont formulées.</w:t>
      </w:r>
    </w:p>
    <w:p>
      <w:r>
        <w:rPr>
          <w:b/>
        </w:rPr>
        <w:t>E. 2.3.2</w:t>
      </w:r>
    </w:p>
    <w:p>
      <w:r>
        <w:t>Dans son acte de recours, la recourante soutient, pour la première fois, que l’infraction de tentative de contrainte devrait être examinée par le Ministère public, en émettant l’hypothèse que ses voisins se seraient entendus afin de la pousser à quitter son logement ou de restreindre l’exercice de ses droits de locataire. De tels faits, ainsi que l’infraction qui y est rattachée, n’apparaissent toutefois ni dans la plainte pénale du 1 er février 2024 ni dans le courrier du 18 septembre 2024, par lequel la recourante a déclaré étendre cette plainte à l’ensemble des auteurs de la lettre litigieuse du 29 janvier 2024. Il ne ressort pas davantage des autres courriers qu’elle a adressés au procureur qu’elle aurait requis qu’il étende l’instruction pénale à l’infraction de tentative de contrainte. Dès lors, l’objet du recours se limitant, en l’espèce, à l’examen de l’ordonnance de classement rendue sur la base des faits dénoncés et ayant donné lieu à l’ouverture de l’instruction pénale (cf. PV des opérations, mention du 12.06.2024), de nouvelles infractions fondées sur des faits distincts ne peuvent être invoquées pour la première fois dans ce cadre. Partant, le grief soulevé en relation avec l’infraction de tentative de contrainte est irrecevable. Même à supposer recevable, ce grief devrait de toute manière être rejeté. En effet, la recourante n’invoque aucun élément concret permettant de penser que la lettre adressée à la gérance aurait effectivement entravé sa liberté d’action. Certes, une telle démarche, consistant à porter des griefs auprès du bailleur, peut avoir des répercussions indirectes sur la situation du locataire concerné, mais elle ne saurait constituer à elle seule une entrave concrète. On ne discerne par ailleurs aucune disproportion entre le moyen employé et le but poursuivi. Enfin, rien n’indique que la plaignante aurait été empêchée de faire valoir ses droits, l’évolution de la situation démontrant plutôt l’inverse.</w:t>
      </w:r>
    </w:p>
    <w:p>
      <w:r>
        <w:rPr>
          <w:b/>
        </w:rPr>
        <w:t>E. 3</w:t>
      </w:r>
    </w:p>
    <w:p>
      <w:r>
        <w:t>En définitive, le recours doit être admis dans la mesure où il est recevable et l’ordonnance entreprise annulée, la cause étant renvoyée au Ministère public pour qu’il procède dans le sens des considérants. Vu le sort du recours, les frais de la procédure, constitués en l’espèce de l’émolument d'arrêt, par 1’430 fr. (art. 20 al. 1 TFIP [tarif des frais de procédure et indemnités en matière pénale du 28 septembre 2010 ; BLV 312.03.1]), seront mis par un tiers, soit par 476 fr. 65, à la charge de la recourante, qui succombe dans cette mesure (art. 428 al. 1 CPP), le solde étant laissé à la charge de l’Etat. Le montant de 770 fr. déjà versé à titre de sûretés sera imputé sur ces frais (art. 383 al. 1 CPP ; art. 7 TFIP), de sorte qu’un montant de 293 fr. 35 sera restitué à la recourante. Obtenant partiellement gain de cause, la recourante, qui a procédé avec l’assistance d’un avocat de choix, a droit à une indemnité réduite pour les dépenses occasionnées par la procédure de recours (art. 429 al. 1 let. a CPP par renvoi de l’art. 436 al. 1 CPP). Me Hervé Dutoit a produit une liste d’opérations faisant état d’un temps total consacré à la procédure de recours de 5h20, ce qui est adéquat. En revanche, il n’y a pas lieu de s’écarter du tarif horaire moyen de 300 fr. (art. 26a al. 1 TFIP ; TF 7B_35/2022 du 22 février 2024 consid. 5, JdT 2024 III 51), la cause ne présentant aucune difficulté particulière. Cette indemnité sera ainsi fixée à 1’600 fr., correspondant à 5h20 d’activité d’avocat au tarif horaire de 300 fr., montant auquel il convient d’ajouter des débours forfaitaires à concurrence de 2 % des honoraires admis (art. 19 al. 2 TDC [tarif des dépens en matière civile du 23 novembre 2010 ; BLV 270.11.6], applicable par renvoi de l’art. 26a al. 6 TFIP), par 32 fr., ainsi que la TVA au taux de 8,1 %, par 132 fr. 20, soit à 1'765 fr. au total en chiffres arrondis. Par parallélisme avec le sort des frais, cette indemnité sera réduite d’un tiers pour tenir compte de la mesure dans laquelle le recours est déclaré irrecevable. En définitive, c’est une indemnité de 1’177 fr., en chiffres arrondis, qui sera allouée à la recourante pour la procédure de recours. Par ces motifs, la Chambre des recours pénale prononce : I. Le recours est admis dans la mesure où il est recevable. II. L’ordonnance du 10 février 2025 est annulée. III. Le dossier de la cause est renvoyé au Ministère public de l’arrondissement du Nord vaudois pour qu’il procède dans le sens des considérants. IV. Les frais d’arrêt, par 1’430 fr. (mille quatre cent trente francs), sont mis par un tiers, soit par 476 fr. 65 (quatre cent septante-six francs et soixante-cinq centimes) à la charge de G.________, le solde étant laissé à la charge de l’Etat. V. Les frais mis à la charge de G.________ au chiffre IV ci-dessus sont compensés avec le montant de 770 fr. (sept cent septante francs) déjà versé par celle-ci à titre de sûretés et le solde, par 293 fr. 35 (deux cent nonante-trois francs et trente-cinq centimes), lui est restitué. VI. Une indemnité réduite de 1’177 fr. (mille cent septante-sept francs) est allouée à G.________ pour la proc1édure de recours, à la charge de l’Etat. VII. L’arrêt est exécutoire. Le président :               Le greffier : Du Le présent arrêt, dont la rédaction a été approuvée à huis clos, est notifié, par l'envoi d'une copie complète, à : - Me Hervé Dutoit, avocat (pour G.________), - Mme P.________, - Mme H.________,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