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418 vom 5. Juni 2025</w:t>
      </w:r>
    </w:p>
    <w:p>
      <w:r>
        <w:t>VD Tribunal cantonal, 2025-06-05, FR</w:t>
      </w:r>
    </w:p>
    <w:p>
      <w:r>
        <w:rPr>
          <w:b/>
        </w:rPr>
        <w:t xml:space="preserve">Quelle: </w:t>
      </w:r>
      <w:r>
        <w:t>https://mcp.opencaselaw.ch/entscheid/vd_findinfo_D_cision___2025___418</w:t>
      </w:r>
    </w:p>
    <w:p>
      <w:r>
        <w:t>FR: VD_FINDINFO Décision / 2025 / 418 du 5 juin 2025</w:t>
      </w:r>
    </w:p>
    <w:p>
      <w:r>
        <w:t>IT: VD_FINDINFO Décision / 2025 / 418 del 5 giugno 2025</w:t>
      </w:r>
    </w:p>
    <w:p>
      <w:pPr>
        <w:pStyle w:val="Heading2"/>
      </w:pPr>
      <w:r>
        <w:t>Regeste</w:t>
      </w:r>
    </w:p>
    <w:p>
      <w:r>
        <w:t>DÉFENSE D'OFFICE, ADMISSION DE LA DEMANDE | 29 al. 2 Cst., 132 al. 1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Jeanneret et al. [éd.], Commentaire romand, Code de procédure pénale suisse [CR CPP], 2 e éd., Bâle,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une partie revêtant la qualité de prévenu qui a un intérêt juridique à l’annulation de l’ordonnance entreprise (art. 382 al. 1 CPP), le recours est recevable. Il en va de même des pièces produites.</w:t>
      </w:r>
    </w:p>
    <w:p>
      <w:r>
        <w:rPr>
          <w:b/>
        </w:rPr>
        <w:t>E. 2.1</w:t>
      </w:r>
    </w:p>
    <w:p>
      <w:r>
        <w:t>Dans un premier moyen, le recourant invoque une violation de son droit d’être entendu. Il expose à cet égard avoir requis le bénéfice de l’assistance judiciaire par courrier du 28 mars 2025 en mentionnant que toutes les pièces permettant d’établir sa situation financière seraient transmises dans les meilleurs délais. Le recourant considère que le Ministère public aurait violé l’art. 29 al. 2 Cst. (Constitution fédérale de la Confédération suisse du 18 avril 1999 ; RS 101) en rendant l’ordonnance attaquée moins de dix jours plus tard, sans lui permettre de produire les pièces annoncées et sans l’avoir préalablement interpellé. L’intéressé expose qu’il a donc été privé de la possibilité d’établir son indigence et qu’il a produit des justificatifs faisant état de la perception, chaque mois, du Revenu d’insertion (RI) à concurrence de 1’300 fr. en moyenne, étant précisé que son loyer est pris en charge à hauteur de 1'054 fr. et qu’il ne dispose d’aucune fortune.</w:t>
      </w:r>
    </w:p>
    <w:p>
      <w:r>
        <w:rPr>
          <w:b/>
        </w:rPr>
        <w:t>E. 2.2</w:t>
      </w:r>
    </w:p>
    <w:p>
      <w:r>
        <w:t>Le droit d'être entendu, garanti par l'art. 29 al. 2 Cst et par l'art. 3 al. 2 let. c CPP, confère notamment à toute personne le droit de s'expliquer avant qu'une décision soit prise à son détriment. Le droit d'être entendu confère aussi, entre autres facultés, celle d'obtenir qu'il soit donné suite à ses offres de preuve pertinentes, lorsque cela est de nature à influer sur la décision à rendre (ATF 145 I 73 consid. 7.2.2.1). La juridiction de recours administre, d'office ou à la demande d'une partie, les preuves complémentaires nécessaires au traitement du recours. Des preuves sont nécessaires lorsqu'elles peuvent influer sur l'issue de la procédure (ATF 147 IV 409 consid. 5.3.2 et la réf. citée). Le refus d'instruire ne viole le droit d'être entendu que si l'appréciation anticipée de la pertinence du moyen de preuve offert, à laquelle le juge a ainsi procédé, est entachée d'arbitraire (ATF 144 II 427 consid. 3.1.3 ; ATF 141 I 60 consid. 3.3 ; ATF 136 I 229 consid. 5.3 ; TF 6B_1355/2022 du 22 mars 2023 consid. 3.2 ; TF 6B_509/2013 du 5 novembre 2013 et réf. citées).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(TF 6B_1261/2021 du 5 octobre 2022 consid. 1.2.2 ; TF 1B_318/2021 du 25 janvier 2023 consid. 4.1).</w:t>
      </w:r>
    </w:p>
    <w:p>
      <w:r>
        <w:rPr>
          <w:b/>
        </w:rPr>
        <w:t>E. 2.3</w:t>
      </w:r>
    </w:p>
    <w:p>
      <w:r>
        <w:t>En l’espèce, la question d’une éventuelle violation du droit d’être entendu du recourant se pose, mais elle peut demeurer ouverte. En effet, celui-ci a produit, avec son recours, les pièces qui établissent son indigence et l’autorité de recours peut en tenir compte dans le cadre de son large pouvoir d’examen. Ainsi, même dans l’hypothèse où une telle violation devrait être admise, le vice serait, de toute manière, guéri en procédure de recours.</w:t>
      </w:r>
    </w:p>
    <w:p>
      <w:r>
        <w:rPr>
          <w:b/>
        </w:rPr>
        <w:t>E. 3.1</w:t>
      </w:r>
    </w:p>
    <w:p>
      <w:r>
        <w:t>Dans un deuxième moyen, le recourant soutient qu’il convient de tenir compte des circonstances concrètes de la cause, lesquelles présenteraient des difficultés tant objectives que subjectives nécessitant la désignation d’un défenseur d’office. Les plaintes pénales déposées par son ex-compagne s’inscriraient dans un litige civil très conflictuel portant sur les droits parentaux relatifs à leur enfant mineur, des mesures d’éloignement ayant, au demeurant, été requises contre lui (P. 8/1 et 8/3). Dans la mesure où la plaignante est assistée d’un conseil de choix dans le cadre de la présente procédure, le principe d’égalité des parties imposerait que le recourant le soit également, à défaut de quoi la plaignante serait avantagée, étant en effet défendue par le même conseil dans les trois procédures pendantes sur le plan civil et pénal. En outre, les infractions reprochées au recourant, à savoir les voies de fait, l’utilisation abusive d’une installation de télécommunication et l’insoumission à une décision de l’autorité, seraient d’une certaine complexité, surtout la deuxième, qui ferait intervenir la notion de « stalking », laquelle ne serait pas connue en droit suisse. Le recourant invoque encore que si les faits qui lui sont imputés par la plaignante étaient établis, il serait passible d’une peine privative de liberté supérieure à quatre mois, d’autant plus au vu de sa condamnation pénale antérieure, ainsi qu’à la révocation du sursis précédent, ce qui entraînerait alors l’exécution d’une peine privative de liberté de deux ans. À cet égard, les questions juridiques relatives à cette révocation de sursis et à la peine d’ensemble seraient également complexes à appréhender pour une personne n’ayant pas de connaissances juridiques pointues. Enfin, le recourant invoque l’impact que pourrait avoir la procédure pénale sur la procédure civile, son absence de formation, sa situation précaire, ainsi que le fait que, en sa qualité de ressortissant kosovar né dans son pays d’origine, sa langue maternelle ne serait pas le français et qu’il ne serait aucunement familier avec le droit.</w:t>
      </w:r>
    </w:p>
    <w:p>
      <w:r>
        <w:rPr>
          <w:b/>
        </w:rPr>
        <w:t>E. 3.2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parties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3.3</w:t>
      </w:r>
    </w:p>
    <w:p>
      <w:r>
        <w:t>In casu , le recourant remplit toutes les conditions pour obtenir la désignation d’un défenseur d’office. Tout d’abord, son indigence ressort des pièces produites avec son acte de recours, le recourant émargeant à l’aide sociale (P. 13/2/5 et 13/2/6), de sorte que la première condition de l’art. 132 al. 1 let. b CPP est réalisée. Ensuite, s’agissant des faits de la cause, il est vrai qu’ils présentent une certaine complexité, notamment en raison de la prise en compte de la condamnation pénale précédente du recourant et de la problématique du harcèlement (« stalking ») qui pourrait donner lieu à la prise en compte de l’infraction de contrainte. De plus, s’agissant de la gravité de l’affaire, le recourant est exposé à la révocation d’un sursis antérieur portant sur une peine privative de liberté relativement importante et, en raison de cet antécédent pénal, il est aussi passible d’une nouvelle condamnation à une peine privative de liberté susceptible d’être supérieure au seuil de quatre mois prévu par l’art. 132 al. 3 CPP. L’enjeu pour le prévenu est important. Il faut également prendre en considération l’aspect civil, qui semble directement lié à cette procédure pénale, celle-ci étant susceptible d’influer notamment sur la problématique des droits parentaux relatifs à leur enfant mineur. A cela s’ajoute que la plaignante est assistée d’un avocat de choix. Par souci d’égalité des parties, et au vu de l’ensemble des circonstances, le recourant doit pouvoir bénéficier de l’assistance d’un avocat pour le représenter dans l’intégralité de ses intérêts. Il s’ensuit que la seconde condition de l’art. 132 al. 1 let. b CPP est également remplie. Partant, les griefs soulevés par I.________ sont bien fondés et un défenseur d’office doit lui être désigné.</w:t>
      </w:r>
    </w:p>
    <w:p>
      <w:r>
        <w:rPr>
          <w:b/>
        </w:rPr>
        <w:t>E. 4</w:t>
      </w:r>
    </w:p>
    <w:p>
      <w:r>
        <w:t>mars 2024/96 consid. 3.1 ; CREP 14 novembre 2022/798 consid. 3 ; CREP 11 octobre 2022/752 consid. 4). L’ordonnance sera maintenue pour le surplus. La désignation de Me Louis Dudenhoeffer en qualité de défenseur d'office vaut également pour la présente procédure de recours. Au vu du travail accompli par Me Louis Dudenhoeffer, il sera retenu trois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pour les débours (art. 3bis al. 1 RAJ par renvoi de l'art. 26b TFIP), soit 10 fr. 80, et 8,1% de TVA sur le tout, soit 44 fr. 60, de sorte que l'indemnité d'office est arrêtée au total à 596 fr. en chiffres arrondis. Vu l’admission du recours, les frais de la procédure, constitués en l’espèce de l’émolument d'arrêt, par 1’100 fr. (art. 20 al. 1 TFIP), et de l’indemnité allouée à Me Louis Dudenhoeffer (art. 422 al. 1 et 2 let. a CPP), par 596 fr., seront laissés à la charge de l’Etat. Par ces motifs, la Chambre des recours pénale prononce : I. Le recours est admis. II. L’ordonnance du 4 avril 2025 est reformée au chiffre I de son dispositif en ce sens que Me Louis Dudenhoeffer est désigné défenseur d’office d’I.________ avec effet au 28 mars 2025. L’ordonnance est maintenue pour le surplus. III. L'indemnité allouée à Me Louis Dudenhoeffer pour la procédure de recours est fixée à 596 fr. (cinq cent nonante-six francs). IV. Les frais d'arrêt, par 1’100 fr. (mille cent francs), ainsi que l'indemnité allouée à Me Louis Dudenhoeffer, par 596 fr. (cinq cent nonante-six francs), sont laissés à la charge de l’Etat. V. L’arrêt est exécutoire. Le président :               La greffière : Du Le présent arrêt, dont la rédaction a été approuvée à huis clos, est notifié, par l'envoi d'une copie complète, à : - Me Louis Dudenhoeffer,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