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188 vom 12. März 2025</w:t>
      </w:r>
    </w:p>
    <w:p>
      <w:r>
        <w:t>VD Tribunal cantonal, 2025-03-12, FR</w:t>
      </w:r>
    </w:p>
    <w:p>
      <w:r>
        <w:rPr>
          <w:b/>
        </w:rPr>
        <w:t xml:space="preserve">Quelle: </w:t>
      </w:r>
      <w:r>
        <w:t>https://mcp.opencaselaw.ch/entscheid/vd_findinfo_D_cision___2025___188</w:t>
      </w:r>
    </w:p>
    <w:p>
      <w:r>
        <w:t>FR: VD_FINDINFO Décision / 2025 / 188 du 12 mars 2025</w:t>
      </w:r>
    </w:p>
    <w:p>
      <w:r>
        <w:t>IT: VD_FINDINFO Décision / 2025 / 188 del 12 marzo 2025</w:t>
      </w:r>
    </w:p>
    <w:p>
      <w:pPr>
        <w:pStyle w:val="Heading2"/>
      </w:pPr>
      <w:r>
        <w:t>Regeste</w:t>
      </w:r>
    </w:p>
    <w:p>
      <w:r>
        <w:t>DÉTENTION PROVISOIRE, COMMERCE DE STUPÉFIANTS, RISQUE DE FUITE, REJET DE LA DEMANDE | 212 al. 3 CPP (CH), 221 al. 1 let. a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Code de procédure pénale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 modifié au 1 er janvier 2024 [RO 2023 p. 468]). Selon le nouvel art. 221 al. 1 bis CPP, en vigueur depuis le 1 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(a) ; en outre, il y a un danger sérieux et imminent qu’il commette un crime grave du même genre (b). Enfin, la détention peut être ordonnée s’il y a sérieusement lieu de craindre qu’une personne passe à l’acte après avoir menacé de commettre un crime grave (art. 221 al. 2 CPP).</w:t>
      </w:r>
    </w:p>
    <w:p>
      <w:r>
        <w:rPr>
          <w:b/>
        </w:rPr>
        <w:t>E. 2.2</w:t>
      </w:r>
    </w:p>
    <w:p>
      <w:r>
        <w:t>; TF 7B_856/2023 du 21 novembre 2023 consid. 2.2.1 ; TF 7B_706/2023 du 23 octobre 2023 consid. 4.2).</w:t>
      </w:r>
    </w:p>
    <w:p>
      <w:r>
        <w:rPr>
          <w:b/>
        </w:rPr>
        <w:t>E. 3.1</w:t>
      </w:r>
    </w:p>
    <w:p>
      <w:r>
        <w:t>Le recourant ne conteste, à juste titre, pas l’existence de forts soupçons de culpabilité à son encontre. Il conteste en revanche l’existence d’un risque de fuite. Il soutient que le centre de sa vie se situe en Italie, pays dans lequel il réside, avec femme et enfants, au bénéfice d’un titre de séjour. Il n’a pas fait mystère de son intention de quitter la Suisse pour rejoindre sa famille en Italie aussitôt que son élargissement aura été ordonné, étant précisé que son épouse est sur le point d’accoucher de son second enfant. Il fait valoir que, dans ces circonstances, il n’y a pas de risque qu’il disparaisse dans la clandestinité et qu’à supposer qu’il lui prenne de ne pas respecter l’engagement de se rendre aux convocations des autorités de poursuite pénale suisses, son extradition d’Italie vers la Suisse ne poserait aucun problème.</w:t>
      </w:r>
    </w:p>
    <w:p>
      <w:r>
        <w:rPr>
          <w:b/>
        </w:rPr>
        <w:t>E. 3.2</w:t>
      </w:r>
    </w:p>
    <w:p>
      <w:r>
        <w:t>Selon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w:t>
      </w:r>
    </w:p>
    <w:p>
      <w:r>
        <w:rPr>
          <w:b/>
        </w:rPr>
        <w:t>E. 3.3</w:t>
      </w:r>
    </w:p>
    <w:p>
      <w:r>
        <w:t>En l’espèce, comme l’a observé le Tribunal des mesures de contrainte, le recourant, ressortissant nigérian, a fait, entre 2017 et 2024, plusieurs allers-retours entre l’Italie et la Suisse, pays dans lequel il n’a aucune attache personnelle, ni domicile, ni activité licite. Dans ces conditions, compte tenu de la peine à laquelle il est exposé – l’infraction grave à la loi sur les stupéfiants est punie d’une peine privative de liberté d’un an au moins (art. 19 al. 2 LStup [loi sur les stupéfiants du 3 octobre 1951 ; RS 812.121]) –, il y a concrètement lieu de craindre qu’il soit tenté de se soustraire aux poursuites pénales dirigées contre lui en quittant la Suisse, notamment pour se rendre en Italie, étant précisé que, contrairement à ce qu’il prétend, et comme on vient de le rappeler, le fait que le risque de fuite puisse se réaliser dans un pays qui pourrait donner suite à une requête d’extradition de la Suisse n’est pas déterminant pour nier ce risque, lequel est manifeste en l’espèce. Aussi le grief du recourant est-il mal fondé. Un motif de détention étant réalisé, il n’est pas nécessaire d'examiner si d'autres motifs de détention pourraient être remplis, les conditions prévues par l’art. 221 al. 1 CPP étant alternatives (cf. TF 7B_868/2023 précité consid. 5.4 ; TF 7B_842/2023 du 9 novembre 2023 consid. 3.4 ; TF 7B_707/2023 du 13 octobre 2023 consid. 3.4).</w:t>
      </w:r>
    </w:p>
    <w:p>
      <w:r>
        <w:rPr>
          <w:b/>
        </w:rPr>
        <w:t>E. 4.1</w:t>
      </w:r>
    </w:p>
    <w:p>
      <w:r>
        <w:t>En vertu des art. 31 al. 3 Cst. et 5 par. 3 CEDH, toute personne qui est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145 IV 179 consid. 3.1 ;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précité consid. 3.1 ; ATF 143 IV 168 précité consid. 5.1 ; ATF 139 IV 270 précité consid. 3.1).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l'éventuel octroi, par l'autorité de jugement, d'un sursis, d'un sursis partiel ou d'une libération conditionnelle (ATF 145 IV 179 précité consid. 3.4 ; ATF 143 IV 168 précité consid. 5.1 ; TF 1B_233/2023 du 5 juin 2023 consid. 4.1 ; TF 1B_185/2020 du 29 avril 2020 consid. 4.1).</w:t>
      </w:r>
    </w:p>
    <w:p>
      <w:r>
        <w:rPr>
          <w:b/>
        </w:rPr>
        <w:t>E. 4.2</w:t>
      </w:r>
    </w:p>
    <w:p>
      <w:r>
        <w:t>En l’espèce, le recourant est en détention depuis le 28 février 2025. Il est soupçonné de s’être rendu coupable d’infraction grave et contravention à la loi fédérale sur les stupéfiants ainsi que d’infraction à la loi fédérale sur les étrangers et l’intégration. Comme dit plus haut, l’infraction grave à la loi sur les stupéfiants est à elle seule punie d’une peine privative de liberté d’un an au moins (art. 19 al. 2 LStup). A cela s’ajoute la récidive à l’infraction à la loi fédérale sur les étrangers et l’intégration pour laquelle il a déjà été condamné à trois reprises. La durée de la détention respecte ainsi le principe de proportionnalité.</w:t>
      </w:r>
    </w:p>
    <w:p>
      <w:r>
        <w:rPr>
          <w:b/>
        </w:rPr>
        <w:t>E. 4.3</w:t>
      </w:r>
    </w:p>
    <w:p>
      <w:r>
        <w:t>En l’espèce, conformément à la jurisprudence rappelée ci-avant, le dépôt du passeport ne constitue pas une mesure suffisante pour parer au risque de fuite, les frontières pouvant être franchies sans document d’identité. Ensuite, le recourant ne dit pas d’où pourraient provenir les fonds qu’il se dit prêt à engager à titre de suretés. La lecture du procès-verbal des opérations permet de tenir pour vraisemblable le fait que c’est sa famille qui a réglé les peines pécuniaires auxquelles il a été condamné (cf. mention figurant au procès-verbal des opérations du 28 février 2025 : « La prison de la Croisée informe le procureur que la famille du prévenu se trouve à l’entrée de l’établissement de détention et qu’elle dispose des moyens financiers couvrant la totalité des peines qu’il est actuellement en train de purger. »). Le fait est qu’on ignore tout de la situation de fortune et de revenu du recourant et de ses proches, respectivement de l’origine des fonds qui pourraient être déposés à titre de sûretés. Dans ces conditions, il n’est pas possible d’apprécier la solidité de la garantie que le recourant se dit prêt à offrir, pas plus que de se convaincre que la perspective de la perte d’une hypothétique somme agira sur lui comme un frein suffisant pour le dissuader de se soustraire à la poursuite pénale et aux potentielles conséquences négatives qu’elle comporte pour lui. Il s’ensuit que le Tribunal des mesures de contrainte n’a pas violé le principe de proportionnalité en refusant d’entrer en matière sur une éventuelle constitution de sûretés à titre de mesure de substitution à la détention provisoire. Ici encore, le grief du recourant doit être écarté.</w:t>
      </w:r>
    </w:p>
    <w:p>
      <w:r>
        <w:rPr>
          <w:b/>
        </w:rPr>
        <w:t>E. 5</w:t>
      </w:r>
    </w:p>
    <w:p>
      <w:r>
        <w:t>En définitive, le recours, manifestement mal fondé, doit être rejeté, sans échange d'écritures (art. 390 al. 2 CPP), et l’ordonnance entreprise confirmée. Compte tenu de la nature de l’affaire et de l’acte de recours déposé, l’indemnité allouée au défenseur d’office de O.________ sera fixée à 450 fr., correspondant à une activité nécessaire d’avocat de 2 h 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 fr., plus la TVA au taux de 8,1 %, par 37 fr. 20, soit à 497 fr. au total en chiffres arrondis. Vu le sort du recours, les frais de la procédure, constitués en l’espèce de l’émolument d'arrêt, par 1’210 fr. (art. 20 al. 1 TFIP), et des frais imputables à la défense d’office de O.________ (art. 422 al. 1 et 2 let. a CPP), fixés à 497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2 mars 2025 est confirmée. III. L’indemnité allouée au défenseur d’office de O.________ est fixée 497 fr. (quatre cent nonante-sept francs). IV. Les frais d’arrêt, par 1’210 fr. (mille deux cent dix francs), ainsi que l’indemnité due au défenseur d’office de O.________, par 497 fr. (quatre cent nonante-sept francs), sont mis à la charge de ce dernier. V. Le remboursement à l’Etat de l’indemnité allouée au chiffre III ci-dessus ne sera exigible que pour autant que la situation financière de O.________ le permette. VI. L’arrêt est exécutoire. Le président :               Le greffier : Du Le présent arrêt, dont la rédaction a été approuvée à huis clos, est notifié, par l'envoi d'une copie complète, à : - Me Gaëtan-Charles Barraud, avocat (pour O.________),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