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166 vom 20. Februar 2025</w:t>
      </w:r>
    </w:p>
    <w:p>
      <w:r>
        <w:t>VD Tribunal cantonal, 2025-02-20, FR</w:t>
      </w:r>
    </w:p>
    <w:p>
      <w:r>
        <w:rPr>
          <w:b/>
        </w:rPr>
        <w:t xml:space="preserve">Quelle: </w:t>
      </w:r>
      <w:r>
        <w:t>https://mcp.opencaselaw.ch/entscheid/vd_findinfo_D_cision___2025___166</w:t>
      </w:r>
    </w:p>
    <w:p>
      <w:r>
        <w:t>FR: VD_FINDINFO Décision / 2025 / 166 du 20 février 2025</w:t>
      </w:r>
    </w:p>
    <w:p>
      <w:r>
        <w:t>IT: VD_FINDINFO Décision / 2025 / 166 del 20 febbraio 2025</w:t>
      </w:r>
    </w:p>
    <w:p>
      <w:pPr>
        <w:pStyle w:val="Heading2"/>
      </w:pPr>
      <w:r>
        <w:t>Regeste</w:t>
      </w:r>
    </w:p>
    <w:p>
      <w:r>
        <w:t>DEMANDE ADRESSÉE À L'AUTORITÉ, INTERPRÉTATION{PROCÉDURE} | 83 CPP (CH)</w:t>
      </w:r>
    </w:p>
    <w:p>
      <w:pPr>
        <w:pStyle w:val="Heading2"/>
      </w:pPr>
      <w:r>
        <w:t>Erwägungen</w:t>
      </w:r>
    </w:p>
    <w:p>
      <w:r>
        <w:rPr>
          <w:b/>
        </w:rPr>
        <w:t>E. 2</w:t>
      </w:r>
    </w:p>
    <w:p>
      <w:r>
        <w:t>e éd., Berne 2018, n. 4020 et les réf.). Certains auteurs n’examinent la question que dans le cadre de l’art. 60 al. 2 CPP, en ce sens qu’ils disent que cette disposition constitue une exception à l’application de l’art. 141 CPP (Jositsch/Schmid, Schweizerische Strafprozessordnung, Praxiskommentar, 4 e éd., 2023, n. 5 ad art. 60 CPP). Il est par ailleurs relevé que le Tribunal fédéral n’a jamais statué sur cette question, dès lors que le recours au sujet de l’exploitabilité des preuves n’est recevable qu’en présence d’un préjudice irréparable au sens de l’art. 93 al. 1 let. a LTF (loi sur le Tribunal fédéral du 17 juin 2005 ; RS 173.110).</w:t>
      </w:r>
    </w:p>
    <w:p>
      <w:r>
        <w:rPr>
          <w:b/>
        </w:rPr>
        <w:t>E. 3</w:t>
      </w:r>
    </w:p>
    <w:p>
      <w:r>
        <w:t>En définitive, la demande d’interprétation doit être rejetée. Les frais de procédure, par 770 fr. (art. 20 al. 1 TFIP [tarif des frais de procédure et indemnités en matière pénale du 28 septembre 2010 ; BLV 312.03.1]), seront exceptionnellement laissés à la charge de l’Etat. Par ces motifs, la Chambre des recours pénale prononce : I. La demande d’interprétation est rejetée. II. Les frais d’arrêt, par 770 fr. (sept cent septante francs), sont laissés à la charge de l’Etat. III. L’arrêt est exécutoire. Le président :              La greffière : Du Le présent arrêt, dont la rédaction a été approuvée à huis clos, est notifié, par l'envoi d'une copie complète, à : - Me Coralie Devaud, avocate (pour X.________), - Me Amédée Kasser, avocat (pour M.________), - Me Alexandre Guyaz, avocat (pour A.________ et B.________),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