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140 vom 12. März 2025</w:t>
      </w:r>
    </w:p>
    <w:p>
      <w:r>
        <w:t>VD Tribunal cantonal, 2025-03-12, FR</w:t>
      </w:r>
    </w:p>
    <w:p>
      <w:r>
        <w:rPr>
          <w:b/>
        </w:rPr>
        <w:t xml:space="preserve">Quelle: </w:t>
      </w:r>
      <w:r>
        <w:t>https://mcp.opencaselaw.ch/entscheid/vd_findinfo_D_cision___2025___140</w:t>
      </w:r>
    </w:p>
    <w:p>
      <w:r>
        <w:t>FR: VD_FINDINFO Décision / 2025 / 140 du 12 mars 2025</w:t>
      </w:r>
    </w:p>
    <w:p>
      <w:r>
        <w:t>IT: VD_FINDINFO Décision / 2025 / 140 del 12 marzo 2025</w:t>
      </w:r>
    </w:p>
    <w:p>
      <w:pPr>
        <w:pStyle w:val="Heading2"/>
      </w:pPr>
      <w:r>
        <w:t>Regeste</w:t>
      </w:r>
    </w:p>
    <w:p>
      <w:r>
        <w:t>ORDONNANCE DE NON-ENTRÉE EN MATIÈRE, REJET DE LA DEMANDE, PLAINTE PÉNALE, MESURE DE CONTRAINTE{PROCÉDURE PÉNALE}, VOIES DE FAIT, LÉSION CORPORELLE SIMPLE, ABUS D'AUTORITÉ, VIOLATION DE DOMICILE, VIOLENCE CONTRE LES AUTORITÉS | 123 CP, 126 CP, 14 CP, 186 CP, 31 CP, 312 CP, 244 CPP (CH), 310 CPP (CH)</w:t>
      </w:r>
    </w:p>
    <w:p>
      <w:pPr>
        <w:pStyle w:val="Heading2"/>
      </w:pPr>
      <w:r>
        <w:t>Erwägungen</w:t>
      </w:r>
    </w:p>
    <w:p>
      <w:r>
        <w:rPr>
          <w:b/>
        </w:rPr>
        <w:t>E. 1</w:t>
      </w:r>
    </w:p>
    <w:p>
      <w:r>
        <w:t>Les parties peuvent attaquer une ordonnance de non-entrée en matière rendue par le Ministère public en application de l’art. 310 CPP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d'organisation judiciaire du 12 décembre 1979 ; BLV 173.01]).</w:t>
      </w:r>
    </w:p>
    <w:p>
      <w:r>
        <w:rPr>
          <w:b/>
        </w:rPr>
        <w:t>E. 1.2</w:t>
      </w:r>
    </w:p>
    <w:p>
      <w:r>
        <w:t>En l’espèce, déposé en temps utile devant l’autorité compétente par la partie plaignante qui a qualité pour recourir (art. 382 al. 1 CPP) et dans les formes prescrites (art. 385 al. 1 CPP), le recours est recevable.</w:t>
      </w:r>
    </w:p>
    <w:p>
      <w:r>
        <w:rPr>
          <w:b/>
        </w:rPr>
        <w:t>E. 2.1</w:t>
      </w:r>
    </w:p>
    <w:p>
      <w:r>
        <w:t>La recourante soutient avoir déposé plainte pénale dans le délai légal de trois mois.</w:t>
      </w:r>
    </w:p>
    <w:p>
      <w:r>
        <w:rPr>
          <w:b/>
        </w:rPr>
        <w:t>E. 2.2.1</w:t>
      </w:r>
    </w:p>
    <w:p>
      <w:r>
        <w:t>Le Ministère public peut rendre une ordonnance de non-entrée en matière en cas d’empêchement de procéder (art. 310 al. 1 let. b CPP). Parmi les conditions à l’ouverture de l’action pénale figure le dépôt d’une plainte du lésé dans le délai légal lorsque les infractions ne se poursuivent que sur plainte. Il s’ensuit que la tardiveté d’une plainte, à l’instar du retrait de la plainte (Moreillon/Parein-Reymond, Petit commentaire CPP, 2 e éd., Bâle 2016, n. 13 ad art. 310 CPP), doit être assimilée à un empêchement de procéder au sens de l’art. 310 al. 1 let. b CPP, du moins lorsqu’aucune infraction poursuivie d’office n’est en cause (CREP 2 février 2022/86 consid. 2.2.1 et les réf. cit.).</w:t>
      </w:r>
    </w:p>
    <w:p>
      <w:r>
        <w:rPr>
          <w:b/>
        </w:rPr>
        <w:t>E. 2.2.2</w:t>
      </w:r>
    </w:p>
    <w:p>
      <w:r>
        <w:t>Aux termes de l’art. 31 CP, le droit de porter plainte se prescrit par trois mois. Le délai court du jour où l’ayant droit a eu connaissance de l’infraction (quant au calcul du délai : cf. ATF 144 IV 161 consid. 2). Le point de départ du délai est la connaissance de l’auteur et bien entendu également de l’infraction, ce qui, selon la jurisprudence, implique de savoir de manière sûre et fiable que ses éléments constitutifs sont donnés (ATF 132 IV 49 consid. 3.2 ; ATF 126 IV 131 consid. 2a ; TF 6B_1025/2021 du 2 mai 2022 consid. 2.1 ; TF 6B_1275/2019 du 12 février 2020 consid. 2.2).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 Petit commentaire CP, 2 e éd., Bâle 2017, n. 4 ad. art. 31 CP). Ce délai impératif de trois mois concerne uniquement les infractions poursuivies sur plainte. Le délai institué par l’art. 31 CP étant un délai de péremption, il ne peut être ni interrompu, ni prolongé (ATF 118 IV 325 consid. 2b). Tout au plus son terme est-il reporté au prochain jour ouvrable lorsqu'il tombe un samedi, un dimanche ou un jour férié selon le droit du for (cf. ATF 83 IV 185 ; TF 6B_482/2008 du 26 août 2008 consid. 3.2).</w:t>
      </w:r>
    </w:p>
    <w:p>
      <w:r>
        <w:rPr>
          <w:b/>
        </w:rPr>
        <w:t>E. 2.3</w:t>
      </w:r>
    </w:p>
    <w:p>
      <w:r>
        <w:t>et les réf. cit., JdT 2012 IV 160).</w:t>
      </w:r>
    </w:p>
    <w:p>
      <w:r>
        <w:rPr>
          <w:b/>
        </w:rPr>
        <w:t>E. 3.1</w:t>
      </w:r>
    </w:p>
    <w:p>
      <w:r>
        <w:t>La recourante conteste s’être débattue comme la procureure le décrit. Au contraire, elle ne se serait pas débattue, elle aurait demandé à maintes reprises que les agents arrêtent de lui faire mal et aurait demandé des explications quant à leurs agissements. En réponse, ceux-ci lui auraient manqué de respect en lui disant de « fermer sa gueule », en la tutoyant et en la traitant de « folle ». Les agents auraient envenimé la situation, en agissant de manière disproportionnée et en abusant de leur pouvoir. Ils auraient continué à la maintenir au sol en lui faisant mal plutôt que de discuter calmement. Elle fait valoir qu’hormis en se basant sur les déclarations des agents, il serait impossible de déterminer ce qu’il s’était passé au début de l’intervention, en particulier si elle avait effectivement saisi un agent par le haut de son gilet et si son fils avait réellement été menaçant et avait adopté un comportement inadéquat. Elle soutient que la procureure aurait dû entendre les voisins, lesquels auraient pu apporter des éclaircissements sur ce qu’il s’était passé, ainsi que son fils. Elle invoque en outre le constat médical du CURML, qui ferait état de la violence de l’intervention et des marques sur son corps, dont elle n’était pas responsable. Selon elle, le visionnage d’une partie de l’intervention ne permettrait pas d’exclure la commission d’une infraction, ce d’autant que l’intervention n’avait pas été filmée dans son intégralité et que des zones floues subsistaient.</w:t>
      </w:r>
    </w:p>
    <w:p>
      <w:r>
        <w:rPr>
          <w:b/>
        </w:rPr>
        <w:t>E. 3.2.1</w:t>
      </w:r>
    </w:p>
    <w:p>
      <w:r>
        <w:t>Conformément à l'art. 310 al. 1 let. a CPP, le Ministère public rend immédiatement – c'est-à-dire sans qu'une instruction soit ouverte (art. 309 al. 1 et 4 CPP ; ATF 144 IV 81 consid. 2.3.3 ; Grodecki/Cornu, in : Commentaire romand, Code de procédure pénale suisse [ci-après : CR CPP], 2 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 qui découle du principe de la légalité (art. 5 al. 1 Cst. [Constitution fédérale de la Confédération suisse du 18 avril 1999 ; RS 101] et art. 2 al. 2 CPP ; ATF 138 IV 86 consid. 4.2 ; TF 6B_1177/2022 du 21 février 2023 consid. 2.1)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w:t>
      </w:r>
    </w:p>
    <w:p>
      <w:r>
        <w:rPr>
          <w:b/>
        </w:rPr>
        <w:t>E. 3.2.2.1</w:t>
      </w:r>
    </w:p>
    <w:p>
      <w:r>
        <w:t>Selon l’art. 123 CP, quiconque, intentionnellement, fait subir à une personne une autre atteinte à l’intégrité corporelle ou à la santé qu’une lésion corporelle grave est puni, sur plainte, d’une peine privative de liberté de trois ans au plus ou d’une peine pécuniaire (ch. 1). L’auteur est poursuivi d’office s’il fait usage du poison, d’une arme ou d’un objet dangereux (ch. 2, 2 e par.).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6B_782/2020 du 7 janvier 2021 consid. 3.1 ; TF 6B_385/2020 du 12 août 2020 consid. 2.1).</w:t>
      </w:r>
    </w:p>
    <w:p>
      <w:r>
        <w:rPr>
          <w:b/>
        </w:rPr>
        <w:t>E. 3.2.2.2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w:t>
      </w:r>
    </w:p>
    <w:p>
      <w:r>
        <w:rPr>
          <w:b/>
        </w:rPr>
        <w:t>E. 3.2.2.3</w:t>
      </w:r>
    </w:p>
    <w:p>
      <w:r>
        <w:t>En application de l’art. 186 CP, se rend coupable de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et est, sur plainte, puni d’une peine privative de liberté de trois ans au plus ou d’une peine pécuniaire.</w:t>
      </w:r>
    </w:p>
    <w:p>
      <w:r>
        <w:rPr>
          <w:b/>
        </w:rPr>
        <w:t>E. 3.2.2.4</w:t>
      </w:r>
    </w:p>
    <w:p>
      <w:r>
        <w:t>Aux termes de l'art. 312 CP, se rendent coupables d’abus d’autorité et sont punis d’une peine privative de liberté de cinq ans au plus ou d’une peine pécuniaire, les membres d’une autorité et les fonctionnaires qui, dans le dessein de se procurer ou de procurer à un tiers un avantage illicite, ou dans le dessein de nuire à autrui, abusent des pouvoirs de leur charge.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précité consid. 1a/aa et b ; TF 6B_518/2021 du 8 juin 2022 consid. 1.1). L’abus de pouvoir ne peut en principe pas être commis par omission (art. 11 CP), puisque l’infraction suppose l’exercice d’un acte de puissance publique (Dupuis et al., op. cit., n. 20 ad art. 312 CP). L’exercice de la puissance publique vise deux hypothèses : l’acte de disposition de droit public ( Verfügung ) et l’acte matériel de contrainte ( Zwang ) (TPF BB.2006.124 du 22 janvier 2007 consid. 2.1 ; Dupuis et al., op. cit., n. 10 ad art. 312 CP). La simple violation des devoirs de service, même sanctionnée par l’autorité supérieure ou de recours, ne suffit pas pour considérer qu’il existe un abus ; il doit s’agir d’une violation insoutenable des règles applicables (Dupuis et al., op. cit.,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w:t>
      </w:r>
    </w:p>
    <w:p>
      <w:r>
        <w:rPr>
          <w:b/>
        </w:rPr>
        <w:t>E. 3.2.3</w:t>
      </w:r>
    </w:p>
    <w:p>
      <w:r>
        <w:t>L'art. 14 CP prévoit que quiconque agit comme la loi l'ordonne ou l'autorise se comporte de manière licite, même si l'acte est punissable en vertu du Code pénal ou d'une autre loi. Selon la jurisprudence du Tribunal fédéral, les fonctionnaires de police qui commettent des infractions dans l'exercice de leurs fonctions ne peuvent pas invoquer cette disposition si leur action ne respecte pas le principe de proportionnalité. En d'autres termes, l'action des fonctionnaires de police doit être appropriée et nécessaire à l'atteinte du but poursuivi et le bien juridique touché, de même que l'ampleur de sa violation doivent être proportionnés au but visé (ATF 141 IV 417 consid. 2.3 ; TF 6B_468/2022 du 12 janvier 2023 consid. 2.2 et les réf. cit.).</w:t>
      </w:r>
    </w:p>
    <w:p>
      <w:r>
        <w:rPr>
          <w:b/>
        </w:rPr>
        <w:t>E. 3.2.4</w:t>
      </w:r>
    </w:p>
    <w:p>
      <w:r>
        <w:t>Conformément à l’art. 197 al. 1 CPP, les mesures de contrainte ne peuvent être prises que si elles sont prévues par la loi (let. a), que des soupçons suffisants laissent présumer une infraction (let. b), que les buts poursuivis ne peuvent pas être atteints par des mesures moins sévères (let. c) et qu’elles apparaissent justifiées au regard de la gravité de l’infraction (let. d). L’al. 2 dispose quant à lui que les mesures de contrainte qui portent atteinte aux droits fondamentaux des personnes qui n’ont pas le statut de prévenu sont appliquées avec une retenue particulière. En application de l’art. 198 al. 1 CPP, les mesures de contrainte peuvent être ordonnées par le ministère public (let. a), le tribunal et, dans les cas urgents, la direction de la procédure (let. b) et la police, dans les cas prévus par la loi (let. c). Aux termes de l’art. 213 CPP, s'il est nécessaire de pénétrer dans des bâtiments, des habitations ou d'autres locaux non publics pour appréhender ou arrêter une personne, les dispositions concernant la perquisition sont applicables (al. 1). Lorsqu'il y a péril en la demeure, la police peut pénétrer dans des locaux sans mandat de perquisition (al. 2). Il y a péril en la demeure lorsque le respect des formes ordinaires du mandat compromettrait l’appréhension ou l’arrestation provisoire (Chaix, in : CR CPP, n. 12 ad art. 213 CPP). L’art. 217 al. 1 let. a CPP dispose que la police est tenue d’arrêter provisoirement et de conduire au poste toute personne qu’elle a surprise en flagrant délit de crime ou de délit ou qu’elle a interceptée immédiatement après un tel acte. Selon l’art. 244 CPP, les bâtiments, les habitations et autres locaux non publics ne peuvent être perquisitionnés qu'avec le consentement de l'ayant droit (al. 1). Ce consentement n'est pas nécessaire, s'il y a lieu de présumer que, dans ces locaux se trouvent des personnes recherchées (al. 2 let. a), se trouvent des traces, des objets ou des valeurs patrimoniales susceptibles d'être séquestrés (al. 2 let. b) ou que des infractions sont commises (al. 2 let. c).</w:t>
      </w:r>
    </w:p>
    <w:p>
      <w:r>
        <w:rPr>
          <w:b/>
        </w:rPr>
        <w:t>E. 3.3</w:t>
      </w:r>
    </w:p>
    <w:p>
      <w:r>
        <w:t>En l’espèce, il est vrai que le début de l’intervention policière n’a pas été filmé par la bodycam de V.________, puisque celle-ci n’était pas encore arrivée sur les lieux. Le visionnage de la vidéo permet néanmoins d’entendre, plus tard durant l’intervention, un agent de police expliquer à son collègue (05:59) : « on arrive devant la porte avec […], on entend que ça crie, on sonne, la porte elle s’ouvre. Au moment où ça s’ouvre, le gamin va contre sa mère. On croche le gamin. Pendant qu’on croche le gamin, la mère elle vient vers nous ». La fin de cet épisode correspond au moment où la brigadière V.________ arrive devant la porte de l’appartement. On entend alors dans la vidéo la recourante s’agiter et crier (00:26) « arrêtez de faire ça à mon fils », sans que l’on ne distingue ce qu’elle fait en même temps. V.________ la somme de reculer, en vain, et la pousse. En lien avec ces faits, la recourante a déclaré lors de sa première audition : « c’est quand j’ai touché le Monsieur pour lui dire de ne pas mettre les menottes à [...] qu’une policière est devenue agressive avec moi » (PV aud. 1, ll. 47-48). Quant au rapport d’investigation, il mentionne que « la femme est arrivée dans le dos des collègues, en saisissant l’agt B.________ [...] par le haut de son gilet de transport » et qu’ensuite V.________ l’a enjointe à reculer (P. 5, p. 5). Dans la suite de la vidéo, et après une brève accalmie, on entend la recourante soudainement crier (00:48) « non non non, il faut pas le toucher comme ça pétasse », avant que la situation ne dégénère à nouveau et que les policiers maîtrisent la recourante et l’amènent au sol. La police a été appelée sur les lieux en raison de cris dans un appartement. Il n’y a pas de motif pour mettre en cause les explications du policier à son collègue sur le début de l’intervention, dès lors que l’agent ignorait à ce moment que la bodycam de V.________ était enclenchée et on ne voit pas quel intérêt il aurait eu à déformer la réalité face à son collègue. La recourante était ainsi d’emblée agitée et agressive. Il s’avère qu’elle était en outre fortement alcoolisée, même si elle a refusé de se soumettre à un éthylotest (cf. P. 5, p. 6) ; en témoignent son comportement et sa manière de s’exprimer dans les images de la bodycam. Son fils s’exclame par ailleurs au début de la vidéo (00:33) : « regarde comment t’es bourrée » ; « faites-lui le test là, souffler ». Elle a également admis avoir « bu quelques verres ce soir-là » (PV aud. 1, ll- 56-57). Tout porte ainsi à croire que la recourante ne s’est pas limitée à « toucher » l’agent B.________ comme elle le prétend, mais plutôt qu’elle l’a saisi par le haut de son gilet, comme le décrit le rapport de police. Là encore, on ne voit pas non plus l’intérêt qu’auraient eu les policiers à mentir sur ce point. Compte tenu de ces éléments, il doit être tenu pour établi que la recourante a tenté de s’interposer pour empêcher les policiers de menotter son fils, ce qui entrait dans le champ de l’infraction de violence ou menace contre les autorités et les fonctionnaires (art. 285 CP). La recourante a du reste été condamnée pour cette infraction par ordonnance pénale du 9 février 2024 (P. 9), laquelle est définitive et exécutoire. La recourante s’est ensuite à nouveau opposée aux actes des policiers en criant qu’il ne fallait pas toucher son fils, tout en injuriant la brigadière, ce qui lui a valu d’être amenée au sol et menottée, conformément à l’art. 217 al. 1 let. a CPP. Tout au long de l’intervention, la recourante n’a cessé de hurler, d’injurier les agents de police (« fils de pute », « grosse pétasse », « pétasse de merde », « connards », etc.) et de se débattre, parfois violemment en donnant des coups de pieds et en mordant – ce qu’elle a admis et qui lui a également valu d’être condamnée (cf. P. 9). Elle a en outre menacé à plusieurs reprises V.________. Elle n’a ainsi jamais obtempéré, causant énormément de difficultés aux agents. On ne voit pas pour quel motif ceux-ci auraient fait appel à deux patrouilles supplémentaires si ce n’est en raison de leur peine à contenir la recourante, les 15 minutes de vidéo prises par la bodycam étant d’ailleurs particulièrement éloquentes. Par conséquent, c’est à bon droit que la procureure a retenu que, dans ce contexte particulier, les agents avaient nécessairement dû tenir, pousser et saisir la recourante à plusieurs endroits de son corps, ce qui avait pu entraîner les ecchymoses et dermabrasions constatées par le CURML. Les actes commis par les policiers étaient donc appropriés et nécessaires à la maîtrise de la recourante ; ils étaient donc proportionnés et dépourvus d’illicéité (art. 14 CP et 24, 2 e phr. LPol [loi sur la police cantonale du 17 novembre 1975 ; BLV 133.11]). Les infractions de lésions corporelles simples et de voies de fait qui auraient pu en résulter ne sont donc pas punissables. Aucune violation de domicile ne peut ensuite être reprochée à l’agent B.________ et la recourante ne le conteste du reste pas – explicitement du moins – dans la motivation de son recours. Elle a du reste admis avoir elle-même voulu appeler la police (PV aud. 2, ll. 121-125). Une fois sur place, après avoir sonné et que la recourante a ouvert la porte, l’agent B.________ a immédiatement agi en voyant le fils de la recourante s’avancer vers elle de manière menaçante. Il était ainsi autorisé par la loi à pénétrer dans l’appartement pour rétablir l’ordre (art. 22 al. 1 LPol). Comme l’a retenue la procureure, il est vrai que les agents n’ont pas toujours adopté une attitude respectueuse envers la recourante, la tutoyant et lui parlant parfois grossièrement. Ces écarts ne revêtent toutefois pas encore une intensité suffisante pour que l’infraction d’abus d’autorité puisse être envisagée. On constate, en visionnant les images de la bodycam, qu’au vu de l’attitude oppositionnelle de la recourante et du fait qu’elle ne cessait de hurler, il leur était effectivement impossible de discuter calmement avec elle. Quant aux gestes des policiers, s’ils apparaissent parfois musclés, ils ont en tout temps été proportionnés au regard du comportement de la recourante, qui n’a jamais obtempéré et se débattait. S’agissant enfin du fait que la recourante a invoqué en vain à réitérées reprises « son droit de faire appel à son avocate », un tel droit n’existe pas durant une intervention policière, mais seulement à partir de l’ouverture de l’enquête (TF 6B_563/2021 du 22 décembre 2022 consid. 2.3.2 ; TF 6B_338/2020 du 3 février 2021 consid. 2.3.4), étant précisé que lors de son interrogatoire devant la procureure, elle a choisi de répondre aux questions sans l’assistance de son avocate (PV aud. 1, ll. 23-27). Au vu des éléments qui précèdent, les moyens déployés par les agents étaient dès lors adéquats et les éléments constitutifs de l’infraction d’abus d’autorité ne sont manifestement pas réunis. La recourante estime que la procureure aurait dû entendre des voisins pour établir les faits. Elle ne propose toutefois l’audition d’aucune personne en particulier et, dans la vidéo, on ne distingue aucun voisin dans les couloirs de l’immeuble. Tout au plus, on entend un agent sommer des locataires de rentrer chez eux. De toute manière, on ne voit pas ce que le témoignage d’un voisin pourrait amener de plus que les images de la bodycam de la brigadière V.________, lesquelles couvrent la quasi-totalité de l’intervention. Le même constat s’impose s’agissant de l’audition du fils [...], lequel a en outre refusé de s’exprimer lorsque les policiers lui en ont donné l’occasion (P. 5, p. 6). Finalement, on ne voit pas quelle mesure d’instruction serait utile. Au vu de ce qui précède, c’est à juste titre que le Ministère public a refusé d’entrer en matière sur la plainte déposée par la recourante, les conditions de l’art. 310 al. 1 let. a CPP étant réunies.</w:t>
      </w:r>
    </w:p>
    <w:p>
      <w:r>
        <w:rPr>
          <w:b/>
        </w:rPr>
        <w:t>E. 4</w:t>
      </w:r>
    </w:p>
    <w:p>
      <w:r>
        <w:t>En définitive, le recours, manifestement mal fondé, doit être rejeté sans échange d’écritures (art. 390 al. 2 CPP) et l’ordonnance attaquée confirmée. La recourante n’a pas demandé à être mise au bénéfice de l’assistance judiciaire dans son recours, conformément à l’art. 136 al. 3 CPP. Elle n’a dès lors pas droit à une indemnité de conseil juridique gratuit. Si elle a été dispensée de l’avance de frais le 22 octobre 2024, il a bien été précisé que la décision ultérieure sur l’assistance judiciaire était réservée. Quoi qu’il en soit, le recours était dénué de chance de succès (cf. art. 136 al. 1 CPP). Les frais de la procédure de recours, constitués en l’espèce du seul émolument d'arrêt, par 1’870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10 septembre 2024 est confirmée. III. Les frais d’arrêt, par 1'870 fr. (mille huit cent septante francs), sont mis à la charge de Q.________. IV. L’arrêt est exécutoire. Le président :               Le greffier : Du Le présent arrêt, dont la rédaction a été approuvée à huis clos, est notifié, par l'envoi d'une copie complète, à : - Me Nour-Aïda Bujard, avocate (pour Q.________), - Ministère public central, et communiqué à : ‑ Mme la Procureure de l’arrondissement de Lausanne, - Mme V.________, - M. 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