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983 vom 28. November 2024</w:t>
      </w:r>
    </w:p>
    <w:p>
      <w:r>
        <w:t>VD Tribunal cantonal, 2024-11-28, FR</w:t>
      </w:r>
    </w:p>
    <w:p>
      <w:r>
        <w:rPr>
          <w:b/>
        </w:rPr>
        <w:t xml:space="preserve">Quelle: </w:t>
      </w:r>
      <w:r>
        <w:t>https://mcp.opencaselaw.ch/entscheid/vd_findinfo_D_cision___2024___983</w:t>
      </w:r>
    </w:p>
    <w:p>
      <w:r>
        <w:t>FR: VD_FINDINFO Décision / 2024 / 983 du 28 novembre 2024</w:t>
      </w:r>
    </w:p>
    <w:p>
      <w:r>
        <w:t>IT: VD_FINDINFO Décision / 2024 / 983 del 28 novembre 2024</w:t>
      </w:r>
    </w:p>
    <w:p>
      <w:pPr>
        <w:pStyle w:val="Heading2"/>
      </w:pPr>
      <w:r>
        <w:t>Regeste</w:t>
      </w:r>
    </w:p>
    <w:p>
      <w:r>
        <w:t>CLASSEMENT DE LA PROCÉDURE, ADMISSION PARTIELLE, DROIT D'ÊTRE ENTENDU | 29 al. 2 Cst., 318 CPP (CH), 319 al. 1 CPP (CH)</w:t>
      </w:r>
    </w:p>
    <w:p>
      <w:pPr>
        <w:pStyle w:val="Heading2"/>
      </w:pPr>
      <w:r>
        <w:t>Erwägungen</w:t>
      </w:r>
    </w:p>
    <w:p>
      <w:r>
        <w:rPr>
          <w:b/>
        </w:rPr>
        <w:t>E. 1.1</w:t>
      </w:r>
    </w:p>
    <w:p>
      <w:r>
        <w:t>Les parties peuvent attaquer une ordonnance de classement rendue par le ministère public en application des art. 319 CPP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par une partie plaignante qui a qualité pour recourir (art. 382 al. 1 CPP) et dans les formes prescrites (art. 385 al. 1 CPP), le recours est recevable.</w:t>
      </w:r>
    </w:p>
    <w:p>
      <w:r>
        <w:rPr>
          <w:b/>
        </w:rPr>
        <w:t>E. 2.1</w:t>
      </w:r>
    </w:p>
    <w:p>
      <w:r>
        <w:t>Dans un premier grief, la recourante invoque une violation de l’art. 319 let. a CPP en lien avec une violation de son droit d’être entendue ainsi que de l’art. 6 CPP. Elle se plaint du rejet de ses réquisitions tendant aux auditions de [...], [...] et [...] ainsi que de l’absence de décision s’agissant de sa réquisition tendant à l’audition d’[...]. Elle invoque également un déni de justice matériel, le Ministère public n’ayant selon elle pas instruit ni classé l’intégralité des faits qu’elle avait rapportés, notamment ceux contenus dans son complément de plainte du 18 août 2021.</w:t>
      </w:r>
    </w:p>
    <w:p>
      <w:r>
        <w:rPr>
          <w:b/>
        </w:rPr>
        <w:t>E. 2.2</w:t>
      </w:r>
    </w:p>
    <w:p>
      <w:r>
        <w:t>Le droit d'être entendu, tel qu'il est garanti par l'art. 29 al. 2 Cst. (Constitution fédérale de la Confédération suisse du 18 avril 1999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 Aux termes de l’art. 318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(al. 1).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(al. 2). Conformément à l'art. 139 al. 2 CPP, il n'y a pas lieu d'administrer des preuves sur des faits non pertinents, notoires, connus de l'autorité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 ATF 141 I 60 consid. 3.3 ; TF 7B_691/2023 du 7 novembre 2023 consid 3.2.1).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(Grodecki/Cornu, in : Kuhn/Jeanneret/Perrier Depeursinge [éd], Commentaire romand, Code de procédure pénale suisse, 2 e éd., Bâle 2019 [ci-après : CR CPP], n. 19 ad art. 318 CPP).</w:t>
      </w:r>
    </w:p>
    <w:p>
      <w:r>
        <w:rPr>
          <w:b/>
        </w:rPr>
        <w:t>E. 2.3</w:t>
      </w:r>
    </w:p>
    <w:p>
      <w:r>
        <w:t>L’examen des réquisitions de preuve de la recourante étant intimement lié à celui de son grief sur le fond, le tout sera analysé de façon simultanée.</w:t>
      </w:r>
    </w:p>
    <w:p>
      <w:r>
        <w:rPr>
          <w:b/>
        </w:rPr>
        <w:t>E. 3.1</w:t>
      </w:r>
    </w:p>
    <w:p>
      <w:r>
        <w:t>Dans un second grief, la recourante invoque une violation de l’art. 319 al. 1 let. a et b CPP en relation avec le principe in dubio pro duriore . S’agissant du cas 1, elle soutient que les faits ne seraient pas constitutifs de voies de fait mais de lésions corporelles simples de peu de gravité. En outre, les blessures occasionnées par le jet du trousseau de clés auraient été établies par photographies et messages. Le jet de la tasse de café s’inscrirait quant à lui dans le cadre d’une altercation documentée au dossier et on ne saurait retenir que le prévenu aurait agi par négligence sur la seule base de ses déclarations. Pour le cas 2, la recourante soutient que sa version des faits serait corroborée par le rapport de police, par un certificat médical du 25 mai 2021 et par une conversation audio entre les parties du 16 avril 2020. Pour le cas 3, la recourante relève que le Ministère public s’est livré à une comparaison de la crédibilité des protagonistes, qui est réservée au juge du fond. Elle rappelle avoir produit un certificat médical du 8 juin 2021 démontrant qu’elle s’était plainte de violences sexuelles plus de deux mois avant de déposer son complément de plainte. Elle estime que l’absence de dénonciation de ces actes aux policiers lors de l’intervention le 17 mai 2021 ne serait pas déterminante. Elle se plaint que le Ministère public n’ait pas tenu compte du contenu de la clé USB qu’elle avait produite, notamment une conversation audio lors de laquelle le prévenu admet avoir eu un comportement déplorable et ne réagit pas lorsque la recourante le traite de violeur. Elle relève encore que [...] a confirmé avoir reçu ses confidences au sujet d’actes sexuels non consentis. Selon la recourante, ces éléments feraient peser des soupçons importants de la commission d’infractions à caractère sexuel sur le prévenu et un acquittement ne pourrait être considéré comme étant plus probable qu’une condamnation.</w:t>
      </w:r>
    </w:p>
    <w:p>
      <w:r>
        <w:rPr>
          <w:b/>
        </w:rPr>
        <w:t>E. 3.2.1</w:t>
      </w:r>
    </w:p>
    <w:p>
      <w:r>
        <w:t>Le droit d’être entendu garanti à l'art. 29 al. 2 Cst.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6B_5/2022 du 8 juin 2022 consid. 2.1.1). Il n'est pas tenu de discuter tous les arguments soulevés par les parties, mais peut se limiter à l'examen des questions décisives pour l'issue du litige (ATF 142 II 154 consid. 4.2 ; ATF 139 IV 179 précité ; TF 6B_5/2022 précité). Dès lors que l'on peut discerner les motifs qui ont guidé la décision de l'autorité, le droit à une décision motivée est respecté, même si la motivation présentée est erronée (ATF 141 IV 557 consid. 3.2.1 ; TF 6B_5/2022 précité ; TF 6B_196/2020 du 14 octobre 2020 consid. 2.1). La motivation peut d'ailleurs être implicite et résulter des différents considérants de la décision (ATF 141 IV 557 précité ; TF 6B_5/2022 précité ; TF 6B_179/2020 du 18 mai 2020 consid. 1.2). Aux termes de l’art. 309 al. 1 CPP, le Ministère public ouvre une instruction formelle lorsqu’il ressort notamment du rapport de police des soupçons suffisants laissant présumer qu’une infraction a été commise (let. a), lorsqu’il ordonne des mesures de contrainte (let. b) ou lorsqu’il est informé par la police conformément à l’art. 307 al. 1 CPP (let. c). Conformément à l'art. 311 al. 2 CPP, le Ministère public peut étendre l'instruction à d'autres prévenus et à d'autres infractions, l'art. 309 al. 3 CPP étant alors applicable. La partie plaignante est fondée à formuler une requête tendant à une telle extension de l'instruction (cf. art. 109 al. 1 CPP). Si cette requête peut être assimilée à une plainte (art. 303 CPP et 304 CPP), le Ministère public statue, mutatis mutandis , au sens des art. 309 CPP et 310 CPP (Grodecki/Cornu, in : CR CPP, n. 17 ad art. 311 CPP ; Moreillon/Parein-Reymond, Petit commentaire, Code de procédure pénale, 2 e éd. 2019, n. 15 ad art. 311 CPP). La forme et le contenu de l’ordonnance de classement sont régis par les art. 80 et 81 CPP (art. 320 al. 1 CPP). L’ordonnance de classement doit être motivée et rendue par écrit (art. 80 al. 2 CPP). En tant que prononcé de clôture de la procédure, elle contient une introduction, un exposé des motifs, un dispositif et l’indication des voies de droit (art. 81 CPP). Selon la jurisprudence, l’abandon de la poursuite pénale est subordonné au prononcé d’une ordonnance formelle de classement, mentionnant expressément les faits que le Ministère public renonce à poursuivre, de manière à en définir clairement et formellement les limites (ATF 138 IV 241 consid. 2.5 ; TF 6B_1157/2019 du 12 novembre 2019 consid. 2.2). A défaut, on se trouve en présence d’un classement implicite, qui doit être annulé. Sous réserve de circonstances particulières, l’annulation doit frapper uniquement la décision implicite elle-même, et non pas l’ordonnance attaquée en tant que telle (CREP 22 août 2024/600 consid. 2.3.1.2 et les références citées).</w:t>
      </w:r>
    </w:p>
    <w:p>
      <w:r>
        <w:rPr>
          <w:b/>
        </w:rPr>
        <w:t>E. 3.2.2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TF 7B_901/2023 du 11 novembre 2024 consid. 3.2.2 et les références citées). En revanche, le Ministère public doit classer la procédure s’il apparaît, sur la base de faits assez clairs pour qu’il n’y ait pas lieu de s’attendre à une appréciation différente de l’autorité de jugement, qu’un renvoi aboutirait selon toute vraisemblance à un acquittement (ATF 143 IV 241 précité consid. 2.3.2).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7B_107/2023 du 20 novembre 2024 consid. 2.1.3 et les références citées).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(TF 7B_153/2022 du 20 juillet 2023 consid. 3.5). La prescription de l’action pénale est un cas d’empêchement de procéder au sens de l’art. 319 al. 1 let. d CPP (Moreillon/Parein-Reymond, op. cit., n. 17 ad art. 319 CPP et la référence citée).</w:t>
      </w:r>
    </w:p>
    <w:p>
      <w:r>
        <w:rPr>
          <w:b/>
        </w:rPr>
        <w:t>E. 3.2.3</w:t>
      </w:r>
    </w:p>
    <w:p>
      <w:r>
        <w:t>Aux termes de l’art. 123 ch. 1 aCP (Code pénal suisse du 21 décembre 1937 ; RS 311.0), applicable en l’espèce dès lors que le nouveau droit n’est pas plus favorable au prévenu (art. 2 al. 1 CP), est puni pour lésions corporelles simples celui qui, intentionnellement, aura fait subir à une personne une autre atteinte à l'intégrité corporelle ou à la santé que celles prévues à l'art. 122 CP. Dans les cas de peu de gravité, le juge pourra atténuer la peine (art. 48a). L’art. 123 ch. 2 al. 4 aCP précise que la peine sera une peine privative de liberté de trois ans au plus ou une peine pécuniaire et la poursuite aura lieu d’office, si l’auteur est le partenaire hétérosexuel ou homosexuel de la victime pour autant qu’ils fassent ménage commun pour une durée indéterminée et que l’atteinte ait été commise durant cette période ou dans l’année qui a suivi la séparation (ch. 2 al. 5).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6B_1257/2023 du 18 juin 2024 consid. 2.1.1). En application de l’art. 126 ch. 1 aCP, applicable en l’espèce dès lors que le nouveau droit n’est pas plus favorable au prévenu, les voies de fait se définissent comme des atteintes physiques qui excèdent ce qui est socialement toléré et qui ne causent ni lésions corporelles, ni dommages à la santé. Conformément à l’art. 126 ch. 2 let. c, la poursuite aura lieu d’office si l’auteur a agi à réitérées reprises contre son partenaire hétérosexuel ou homosexuel pour autant qu’ils fassent ménage commun pour une durée indéterminée et que les atteintes aient été commises durant cette période ou dans l’année qui a suivi la séparation. L'atteinte au sens de l'art. 126 CP suppose une certaine intensité. Peuvent être qualifiées de voies de fait, une gifle, un coup de poing ou de pied, de fortes bourrades avec les mains ou les coudes (TF 6B_1257/2023 précité consid. 2.1.2 et les références citées). La distinction entre lésions corporelles et voies de fait peut s'avérer délicate, notamment lorsque l'atteinte s'est limitée à des meurtrissures, des écorchures, des griffures ou des contusions (ATF 134 IV 189 consid. 1.3). Dans les cas limites, il faut tenir compte de l'importance de la douleur provoquée, afin de déterminer s'il s'agit de lésions corporelles simples ou de voies de fait (ATF 134 IV 189 consid. 1.3 ; TF 6B_1257/2023 précité consid. 2.1.2 et les références citées). Il faut prendre en considération l’ensemble des circonstances objectives et subjectives de l’infraction pour déterminer si l'on se trouve dans un cas de lésions corporelles simples de peu de gravité au sens de l'art. 123 ch. 1 al. 2 CP (ATF 127 IV 59 consid. 2a, JdT 2003 IV p. 151 ; TF 6B_1425/2020 du 5 juillet 2021 consid. 3.1).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il en a été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 TF 6B_782/2020 du 7 janvier 2021 consid. 3.1).</w:t>
      </w:r>
    </w:p>
    <w:p>
      <w:r>
        <w:rPr>
          <w:b/>
        </w:rPr>
        <w:t>E. 3.3</w:t>
      </w:r>
    </w:p>
    <w:p>
      <w:r>
        <w:t>En l’espèce, s’agissant du jet de la tasse de café, comme l’a retenu le Ministère public, aucun élément probatoire ne vient corroborer la version des faits de la recourante. Les photographies qu’elle a produites devant attester des blessures qu’elle aurait subies ne sont pas de qualité suffisante pour qu’il soit possible de constater l’existence de lésions (P. 20/5). Quant aux photographies montrant une porte d’armoire endommagée, il n’est pas possible de déterminer l’origine des dégâts (P. 20/6). Même s’il fallait admettre que ce serait le prévenu qui les aurait causés en lançant une boîte de sel, comme le soutient la recourante, cela n’aurait pas pour effet de confirmer également les déclarations de celle-ci au sujet du jet de la tasse de café et des lésions qu’elle dit avoir subies. Les faits remontant à près de cinq ans et la recourante n’ayant pas allégué avoir consulté un médecin pour faire constater les lésions ou s’être confiée à quelqu’un au sujet de cet évènement, il ne pourrait être attendu que des mesures d’instruction supplémentaires puissent être à même de venir corroborer sa version. Dans ces circonstances, il convient de confirmer le classement sur ce point (cf. TF 7B_107/2023 précité consid. 2.1.3). Pour ce qui est du jet de clés, les photographies des blessures produites par la recourante permettent uniquement d’apercevoir une légère égratignure superficielle de quelques millimètres à la base de son pouce gauche (P. 13/3 et 4). La vidéo produite en procédure de recours par cette dernière permet également d’apercevoir cette blessure mais n’apporte pas d’élément supplémentaire à son sujet (P. 63/3/3). Le message dans lequel le prévenu semble reconnaître avoir causé une blessure à la recourante, auquel cette dernière renvoie, n’est quant à lui pas déterminant pour évaluer la gravité de la blessure (P. 20/3). En définitive, comme l’a retenu le Ministère public, la lésion occasionnée n’atteint pas un seuil de gravité suffisant pour pouvoir être qualifiée de lésion corporelle simple. Seule l’infraction de voies de fait apparaît ainsi pouvoir entrer en ligne de compte. Les faits s’étant produits en juin 2019 selon le prévenu et le 3 juillet 2019 selon la recourante, la prescription est désormais acquise (art. 109 CP). Le classement doit également être confirmé à cet égard. S’agissant des faits du 17 mai 2021, la recourante soutient que le prévenu l’aurait bousculée lors d’une dispute, tandis que ce dernier reconnaît qu’il y a eu une dispute mais conteste tout échange physique. La recourante a déclaré que le prévenu l’aurait poussée alors qu’elle tenait sa petite-fille de six mois dans les bras. Elle a montré aux policiers des petites égratignures sur ses deux mains qu’elle aurait subies en se rattrapant contre un mur. Elle n’a cependant pas été en mesure de reproduire le geste qui aurait pu lui occasionner des blessures aux deux mains alors qu’elle tenait un enfant dans ses bras (P. 4, p. 4). Cela tend à réduire la crédibilité de ses déclarations. Le Ministère public était ainsi en droit de mettre le prévenu au bénéfice de ses propres déclarations. L’ordonnance entreprise doit également être confirmée sur ce point. Au sujet des infractions à caractère sexuel, comme cela ressort de la jurisprudence précitée (cf. consid. 3.2.2), pour les infractions commises entre quatre yeux, lorsqu’il n’est pas possible d’attribuer une crédibilité prépondérante aux déclarations de l’une des parties, le principe in dubio pro duriore impose en règle générale de mettre le prévenu en accusation. En outre, bien qu’il s’agisse de témoignages indirects, il apparaît que les auditions de [...], auprès de qui la recourante pourrait s’être confiée, [...], marraine et principale confidente de la recourante, et [...], qui aurait accueilli la recourante le 16 novembre 2019 après une dispute, sont des moyens de preuve essentiels pour la recherche de la vérité. Ces auditions permettraient de déterminer si la recourante s’est confiée à ses personnes et, si c’est le cas, quel était le contenu de ses confidences et à quel moment elles ont été faites. Le Ministère public ne pouvait pas refuser de mettre en œuvre ces mesures d’instruction. L’ordonnance entreprise doit être annulée à cet égard. S’agissant en revanche de la réquisition tendant à l’audition d’[...] en qualité de témoin, la recourante ne l’a pas réitérée dans le délai de l’art. 318 al. 1 CPP et n’a jamais exposé ce que ce témoignage serait en mesure d’apporter à l’instruction. Il n’y a ainsi pas lieu d’inciter le Ministère public à le recueillir. Enfin, comme l’a soulevé la recourante, force est de constater que le Ministère public a procédé à un classement implicite des faits dénoncés dans le complément de plainte du 18 août 2021 qui n’ont pas trait aux infractions à caractère sexuel. Ce défaut doit être réparé et l’instruction complétée. Cet élément justifie également l’annulation de l’ordonnance entreprise.</w:t>
      </w:r>
    </w:p>
    <w:p>
      <w:r>
        <w:rPr>
          <w:b/>
        </w:rPr>
        <w:t>E. 4</w:t>
      </w:r>
    </w:p>
    <w:p>
      <w:r>
        <w:t>En définitive, le recours doit être partiellement admis et l’ordonnance entreprise annulée. Le dossier de la cause sera renvoyé au Ministère public pour complément d’instruction dans le sens des considérants. Vu le sort du recours, qui n’est que partiellement admis, les frais de procédure, constitués du seul émolument de décision, par 1’540 fr. (art. 20 al. 1 TFIP [tarif des frais de procédure et indemnités en matière pénale du 28 septembre 2010 ; BLV 312.03.1]), seront mis par moitié, soit 770 fr., à la charge de la recourante, le solde étant laissé à la charge de l’Etat (art. 428 CPP). Le montant de 770 fr. versé par la recourante à titre de sûretés sera imputé sur ces frais (art. 383 al. 1 CPP ; art. 7 TFIP). La recourante, qui a procédé avec l’assistance d’un conseil de choix et qui a obtenu partiellement gain de cause, a droit à une indemnité pour les dépenses obligatoires occasionnées par la procédure de recours (art. 433 al. 1 let. a CPP, applicable par renvoi de l’art. 436 al. 1 CPP). Au vu de la nature de la cause et de l’acte de recours déposé, les honoraires seront fixés à 1'500 fr., correspondant à cinq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30 fr., plus la TVA au taux de 8,1 %, par 123 fr. 95. La recourante n’ayant obtenu que partiellement gain de cause, cette indemnité sera réduite de moitié et ainsi arrêtée à 827 fr. en chiffres arrondis, à la charge de l’Etat. Par ces motifs, la Chambre des recours pénale prononce : I. Le recours est partiellement admis. II. L’ordonnance du 27 mars 2024 est annulée en tant qu’elle vaut classement de la procédure pénale pour les infractions à caractère sexuel et qu’elle vaut classement implicite sur les faits dénoncés par R.________ dans son complément de plainte du 18 août 2021 qui n’ont pas trait à des infractions à caractère sexuel. Elle est confirmée pour le surplus. III. Le dossier de la cause est renvoyé au Ministère public de l’arrondissement de La Côte pour qu’il procède dans le sens des considérants. IV. Les frais d’arrêt, par 1’540 fr. (mille cinq cent quarante francs), sont mis par 770 fr. (sept cent septante francs) à la charge de R.________, le solde étant laissé à la charge de l’Etat. V. L’avance de frais de 770 fr. (sept cent septante francs) versée par R.________ est imputée sur les frais mis à sa charge au chiffre IV ci-dessus. VI. Une indemnité de 827 fr. (huit cent vingt-sept francs) est allouée à R.________ pour la procédure de recours, à la charge de l’Etat. VII. L’arrêt est exécutoire. Le président :               Le greffier : Du Le présent arrêt, dont la rédaction a été approuvée à huis clos, est notifié, par l'envoi d'une copie complète, à : - Me Laurent Contat, avocat (pour R.________), - Me Dan Bally, avocat (pour I.________),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