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9 vom 28. Dezember 2023</w:t>
      </w:r>
    </w:p>
    <w:p>
      <w:r>
        <w:t>VD Tribunal cantonal, 2023-12-28, FR</w:t>
      </w:r>
    </w:p>
    <w:p>
      <w:r>
        <w:rPr>
          <w:b/>
        </w:rPr>
        <w:t xml:space="preserve">Quelle: </w:t>
      </w:r>
      <w:r>
        <w:t>https://mcp.opencaselaw.ch/entscheid/vd_findinfo_D_cision___2024___9</w:t>
      </w:r>
    </w:p>
    <w:p>
      <w:r>
        <w:t>FR: VD_FINDINFO Décision / 2024 / 9 du 28 décembre 2023</w:t>
      </w:r>
    </w:p>
    <w:p>
      <w:r>
        <w:t>IT: VD_FINDINFO Décision / 2024 / 9 del 28 dicembre 2023</w:t>
      </w:r>
    </w:p>
    <w:p>
      <w:pPr>
        <w:pStyle w:val="Heading2"/>
      </w:pPr>
      <w:r>
        <w:t>Regeste</w:t>
      </w:r>
    </w:p>
    <w:p>
      <w:r>
        <w:t>DÉCISION DE RENVOI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 e éd., Berne 2022, n. 31 ad art. 107 LTF).</w:t>
      </w:r>
    </w:p>
    <w:p>
      <w:r>
        <w:rPr>
          <w:b/>
        </w:rPr>
        <w:t>E. 2.1</w:t>
      </w:r>
    </w:p>
    <w:p>
      <w:r>
        <w:t>Dans une jurisprudence publiée aux ATF 149 IV 9 rendue dans le même contexte général, le Tribunal fédéral a précisé les exigences relatives au contenu d’une ordonnance pénale s’agissant de la désignation de la personne prévenue. Il a jugé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 était bien celle que désignait l'ordonnance pénale, à l'exclusion de toute autre. Sous ces conditions, la désignation pouvait être qualifiée de suffisante, malgré l'absence de données nominatives complètes (cf. ATF 149 IV 9 consid. 6, spéc. 6.4). Dans d’autres causes s’inscrivant dans des circonstances parfaitement analogues au cas d’espèce (cf. TF 6B_429/2022 et 6B_436/2022 du 23 août 2023 consid. 7), toujours en se fondant sur sa jurisprudence publiée aux ATF 149 IV 9, le Tribunal fédéral a considéré que l'admission de la validité d'une ordonnance pénale désignant une personne prévenue de façon générique impliquait également d'appréhender en conséquence les exigences formelles concernant les procurations produites en instance cantonale, au risque, à défaut, d’aboutir à une violation de la prohibition du formalisme excessif et de la garantie d'accès au juge. Il n’était en effet pas admissible d’admettre, d'une part, une interprétation large des exigences découlant de l’art. 353 al. 1 let. b CPP (régissant l’identité du prévenu dans le cadre de l’ordonnance pénale) tout en imposant, de l'autre, une stricte application des exigences de forme applicables aux voies de droit permettant de contester la décision de base. On ne pouvait pas à la fois considérer que la désignation retenue pour l'ordonnance pénale renvoie à une personne identifiable et ne comporte aucun risque de confusion tout en opposant à cette même personne ainsi désignée des vices de forme lorsqu'elle procède en reprenant la désignation retenue par les autorités. Les vices affectant la procuration produite à l'appui du recours cantonal, qui reprenait strictement le libellé de l'ordonnance pénale, tout comme la procuration produite à l'appui de l'opposition à dite ordonnance, ne pouvaient ainsi pas conduire à l’irrecevabilité du recours (cf. ATF 149 IV 9 consid. 7, spéc. 7.3).</w:t>
      </w:r>
    </w:p>
    <w:p>
      <w:r>
        <w:rPr>
          <w:b/>
        </w:rPr>
        <w:t>E. 2.2</w:t>
      </w:r>
    </w:p>
    <w:p>
      <w:r>
        <w:t>Se référant à cette jurisprudence, dans son arrêt du 23 août 2023, le Tribunal fédéral a considéré qu'une ordonnance pénale comportant une désignation générique analogue à celle retenue dans le cas d’E.________ ne pouvait pas être qualifiée de nulle. Il a en outre considéré, au vu de la singularité de la cause, que la stricte application des exigences de forme applicables aux voies de droit ayant conduit à l’irrecevabilité de l’opposition et du recours devant la Chambre des recours pénale, soit la validité de la procuration, aboutissaient à une violation de la prohibition du formalisme excessif et de la garantie d’accès au juge.</w:t>
      </w:r>
    </w:p>
    <w:p>
      <w:r>
        <w:rPr>
          <w:b/>
        </w:rPr>
        <w:t>E. 2.3</w:t>
      </w:r>
    </w:p>
    <w:p>
      <w:r>
        <w:t>En l’espèce, en vertu de l’autorité de renvoi de l’arrêt du Tribunal fédéral, force est de constater que la Cour de céans ne pouvait pas déclarer irrecevable le recours déposé par Me J.________ au motif qu’elle ne disposait pas d’une procuration valable. Si le tribunal de police a à juste titre considéré que l’ordonnance pénale n’était pas nulle, compte tenu des considérants de l’arrêt de renvoi, c’est en revanche à tort qu’il a considéré que l’opposition à l’ordonnance pénale était irrecevable, à tout le moins au motif que la procuration produite ne permettait pas d’identifier son auteure, qui y était désignée comme dans l’ordonnance pénale. Il s’ensuit que le recours s’avère en définitive recevable et bien fondé.</w:t>
      </w:r>
    </w:p>
    <w:p>
      <w:r>
        <w:rPr>
          <w:b/>
        </w:rPr>
        <w:t>E. 3</w:t>
      </w:r>
    </w:p>
    <w:p>
      <w:r>
        <w:t>Au vu de ce qui précède, le recours doit être admis, le prononcé rendu le 12 novembre 2021 annulé et le dossier de la cause renvoyé au Tribunal de police de l’arrondissement de La Côte pour qu’il procède selon l’art. 356 CPP. Vu le sort de la cause, les frais du présent arrêt, par 880 fr. (art. 20 al. 1 TFIP [Tarif des frais de procédure et indemnités en matière pénale du 28 septembre 2010 ; BLV 312.03.1]), seront laissés à la charge de l’Etat (art. 428 al. 4 CPP). Contrairement à ce que soutient le tribunal de police, il n’y a pas lieu de mettre une partie des frais de procédure à la charge de la recourante, qui obtient entièrement gain de cause sur l’une de ses conclusions alternatives. La recourante, qui obtient gain de cause et qui a procédé avec l’assistance d’un avocat de choix, a droit à une indemnité pour les dépenses occasionnées par l’exercice raisonnable de ses droits pour la procédure antérieure et ultérieure à l’arrêt du Tribunal fédéral. La liste d’opérations du 25 novembre 2021 fait état d’une activité de 9h10, ce qui n’est pas excessif au vu du mémoire de recours déposé. Pour tenir compte également de l’activité déployée depuis l’arrêt de renvoi, l’indemnité sera fixée à 2’850 fr., sur la base de 9,5 heures d’activité nécessaire d’avocat au tarif horaire de 300 fr. (art. 26a al. 3 TFIP), le tarif de 400 fr. étant trop élevé au regard de la complexité de la cause. Il faut y ajouter 2 % pour les débours forfaitaires (art. 19 al. 2 TDC [tarif des dépens en matière civile du 23 novembre 2010 ; BLV 270.11.6]), applicable par renvoi de l’art. 26a al. 6 TFIP), soit 57 fr., et la TVA de 7,7 % sur le tout, soit 223 fr. 85, ce qui correspond à la somme totale de 3'131 fr. en chiffres arrondis. Cette indemnité sera mise à la charge de l’Etat et versée à Me J.________ pour le compte d’E.________, puisque dite indemnité ne peut lui être versée directement. Me J.________, qui n’était pas concernée personnellement par la procédure antérieure à l’arrêt du Tribunal fédéral et qui a agi seule pour la procédure ultérieure, n’a pas droit à une indemnité. Elle n’en demande du reste pas. Par ces motifs, la Chambre des recours pénale prononce : I. Le recours est admis. II. Le prononcé du 12 novembre 2021 est annulé. III. Le dossier de la cause est renvoyé au Tribunal de police de l’arrondissement de La Côte pour qu’il procède dans le sens des considérants. IV. Les frais d’arrêt, par 880 fr. (huit cent huitante francs), sont laissés à la charge de l’Etat. V. Une indemnité de 3’131 fr. (trois mille cent trente-et-un francs) est allouée à Me J.________ pour E.________ pour les dépenses occasionnées par les procédures de recours antérieure et postérieure à l’arrêt du Tribunal fédéral, à la charge de l’Etat. VI. L’arrêt est exécutoire. La présidente :               Le greffier : Du Le présent arrêt, dont la rédaction a été approuvée à huis clos, est notifié, par l'envoi d'une copie complète, à : - Me J.________, avocate (pour elle-même et pour E.________), - Ministère public central, et communiqué à : ‑ M. le Président du Tribunal de police de l’arrondissement de La Côte,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