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871 vom 4. November 2024</w:t>
      </w:r>
    </w:p>
    <w:p>
      <w:r>
        <w:t>VD Tribunal cantonal, 2024-11-04, FR</w:t>
      </w:r>
    </w:p>
    <w:p>
      <w:r>
        <w:rPr>
          <w:b/>
        </w:rPr>
        <w:t xml:space="preserve">Quelle: </w:t>
      </w:r>
      <w:r>
        <w:t>https://mcp.opencaselaw.ch/entscheid/vd_findinfo_D_cision___2024___871</w:t>
      </w:r>
    </w:p>
    <w:p>
      <w:r>
        <w:t>FR: VD_FINDINFO Décision / 2024 / 871 du 4 novembre 2024</w:t>
      </w:r>
    </w:p>
    <w:p>
      <w:r>
        <w:t>IT: VD_FINDINFO Décision / 2024 / 871 del 4 novembre 2024</w:t>
      </w:r>
    </w:p>
    <w:p>
      <w:pPr>
        <w:pStyle w:val="Heading2"/>
      </w:pPr>
      <w:r>
        <w:t>Regeste</w:t>
      </w:r>
    </w:p>
    <w:p>
      <w:r>
        <w:t>PLAINTE PÉNALE, ORDONNANCE DE NON-ENTRÉE EN MATIÈRE, PROLONGATION DU DÉLAI, ACTION PÉNALE, MAXIME OFFICIELLE, USAGE DE FAUX{DROIT PÉNAL} | 31 CP, 310 CPP (CH), 385 CPP (CH), 393 CPP (CH), 92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 TF 6B_1447/2022 du 14 mars 2023 consid. 1.1 et les références citées ; Guidon, in : Basler Kommentar, op. cit., n. 9c ad art. 396 CPP et les références citées ; Keller, in : Donatsch/Lieber/Summers/Wohlers [éd.], Zürcher Kommentar, Kommentar zur Schweizerischen Strafprozessordnung, 3e éd., Zurich/Bâle/Genève 2020, n. 14 ad art. 396 CPP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7B_355/2023 précité consid. 2.2.1 ; TF 6B_1447/2022 précité).</w:t>
      </w:r>
    </w:p>
    <w:p>
      <w:r>
        <w:rPr>
          <w:b/>
        </w:rPr>
        <w:t>E. 1.3</w:t>
      </w:r>
    </w:p>
    <w:p>
      <w:r>
        <w:t>Dans son acte de recours daté du 16 juin 2024, T.B.________, qui adresse des reproches à son avocat, n’expose aucun motif factuel ou juridique permettant de comprendre en quoi l’ordonnance attaquée serait erronée. Cet acte ne satisfait dès lors pas aux exigences de motivation de l’art. 385 al. 1 CPP et, partant, est irrecevable. En revanche, interjeté en temps utile devant l’autorité compétente, par une partie qui a qualité pour recourir (art. 382 al. 1 CPP) et dans les formes prescrites (art. 385 al. 1 CPP), l’acte de recours daté du 17 juin 2024 est recevable.</w:t>
      </w:r>
    </w:p>
    <w:p>
      <w:r>
        <w:rPr>
          <w:b/>
        </w:rPr>
        <w:t>E. 2.1</w:t>
      </w:r>
    </w:p>
    <w:p>
      <w:r>
        <w:t>; TF 6P.115/2006-6S.241/2006 du 17 août 2006 consid. 1). En principe, si l’autorité a indiqué clairement qu’il n’y aurait pas de prolongation (supplémentaire), compte tenu de l’urgence et des circonstances du cas d’espèce, la partie et son mandataire doivent veiller à agir dans le délai fixé. L'autorité veillera à écarter les demandes de prolongation dilatoires ou à caractère abusif (Moreillon/Parein-Reymond, Petit Commentaire du Code de procédure pénale, 2 e éd., Bâle 2016, n. 4 ad art. 92 CPP et les références citées).</w:t>
      </w:r>
    </w:p>
    <w:p>
      <w:r>
        <w:rPr>
          <w:b/>
        </w:rPr>
        <w:t>E. 2.2</w:t>
      </w:r>
    </w:p>
    <w:p>
      <w:r>
        <w:t>Selon l’art. 92 CPP, les autorités peuvent prolonger les délais ou ajourner les termes qu’elles ont fixés, d’office ou sur demande. La demande doit être présentée avant l’expiration des délais et être suffisamment motivée. Si elle n’est pas motivée, elle devra être déclarée irrecevable. Si elle est motivée, il appartiendra à l’autorité d’apprécier si les circonstances évoquées justifient une prolongation de délai ou un ajournement du terme. L’autorité dispose à cet égard d’un libre pouvoir d’appréciation, limité uniquement par l’arbitraire. Ainsi, l’art. 92 CPP ne confère pas à la partie un droit absolu à la prolongation du délai ou à l’ajournement d’un terme même s’il s’agit d’une première demande (Stoll, in : Jeanneret/Kuhn/Perrier Depeursinge [éd.], Commentaire romand, Code de procédure pénale suisse, 2e éd., Bâle 2019, n. 6 ad art. 95 CPP). Les conditions pour obtenir une prolongation ou un ajournement sont cependant moins strictes que celles prévues pour obtenir la restitution d’un délai selon l’art. 94 CPP. Il n’est notamment pas nécessaire d’établir que la partie est empêchée d’agir dans le délai sans sa faute (Stoll, op. cit., n. 7 ad art. 92 CPP).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(Riedo, in : Niggli/Heer/Wiprächtiger (éd.), Basler Kommentar, Schweizerische Strafprozessordnung, Jugendstrafprozessordnung, 3e éd., Bâle 2023, n. 23 et 24 ad art. 92 CPP ; StolI, op. cit., n. 7 ad art. 92 CPP).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(TF 6B_229/2015 du 30 avril 2015 consid. 1.1 et les références citées ; Riedo, op. cit., n. 24 ad art. 92 CPP et les références citées; Stoll, op. cit., n. 7 ad art. 92 CPP). En cas de demandes réitérées de prolongation de délai, il convient de se montrer plus strict que lors d’une première demande de prolongation. Ainsi, au regard du principe de célérité (art. 5 CPP), une nouvelle prolongation de délai ne pourra en règle générale pas être accordée pour le seul motif que le défenseur est surchargé (Riedo, op. cit., n. 25 ad art. 92 CPP). Cela étant, il apparaît souhaitable, pour des motifs de clarté, que l’autorité qui accorde une prolongation de délai indique qu’il s’agit d’une unique, respectivement de l’ultime prolongation. Dans ce cas, une nouvelle demande de prolongation ne sera acceptée qu’en cas d’urgence (Riedo, op. cit., n. 26 ad art. 92 CPP ; Stoll, op. cit., n. 7 ad art. 92 CPP ; TF 5A_812/2010 du 3 août 2011 consid.</w:t>
      </w:r>
    </w:p>
    <w:p>
      <w:r>
        <w:rPr>
          <w:b/>
        </w:rPr>
        <w:t>E. 2.3</w:t>
      </w:r>
    </w:p>
    <w:p>
      <w:r>
        <w:t>En l’espèce, la recourante a bénéficié de beaucoup de temps pour fournir les précisions requises. A cet égard, on rappellera que la plainte a été déposée le 1 er avril 2024, puis complétée le 4 avril 2024, et qu’à réception de celle-ci, le procureur a immédiatement, soit le 9 avril 2024, demandé à la recourante d’exposer clairement les faits qui lui paraissaient constitutifs d’infractions à son égard et de préciser où et quand ces faits avaient eu lieu, le cas échéant, en fournissant toutes pièces utiles. Il lui a imparti un délai au 24 avril 2024 à cet effet. A la demande de la recourante, le procureur a accepté de prolonger le délai imparti à deux reprises, en dernier lieu jusqu’au 31 mai 2024. A ce moment, il a attiré l’attention de la recourante sur le fait qu’il s’agissait d’une ultime prolongation. Partant, le procureur n’avait pas à accorder un bref délai de grâce à la recourante pour procéder avant la reddition de l’ordonnance attaquée. Le recours doit donc être rejeté sur ce point. Cela étant, le vice formel invoqué par la recourante est sans conséquence. En effet, dans son complément de plainte du 5 juin 2024, la recourante invoque des faits nouveaux. Elle expose, pièces à l’appui (P. 15/1 et 15/2), que son époux a imité sa signature sur différents documents de la Generali Assurances portant sur des prêts consentis par cette compagnie, ainsi que sur une procuration portant sur un remboursement de cotisations AI. En l’état, ces allégations semblent crédibles et la comparaison de la signature figurant sur la plainte du 1 er avril 2024 (P. 6/1) avec celles apposées sur les « Contrat(s) de prêt et nantissement » et les décomptes contresignés les 16 et 26 février 2018, 4 juin 2020, 9 mai 2022 et 29 juin 2023, ainsi que sur la procuration du 8 décembre 2023, révèle que les paraphes sont bel et bien différents. Ces faits ne sont toutefois pas retenus dans l’ordonnance de non-entrée en matière, dès lors qu’au moment de rendre son ordonnance, le procureur n’en avait pas connaissance. Autrement dit, l’ordonnance attaquée ne contient pas une non-entrée en matière implicite sur le complexe de faits précité. Il n’y a donc pas lieu d’annuler l’ordonnance attaquée pour ce motif. Cela étant, s’ils étaient avérés, les faits précités pourraient être constitutifs de faux dans les titres au sens de l’art. 251 CP, infraction poursuivie d’office. Le Ministère public ne peut donc pas ignorer ces faits, qui devront être instruits sur la base du complément de plainte déposé le 5 juin 2024. Le dossier de la cause lui sera donc renvoyé pour qu’il procède dans ce sens. Pour le surplus, soit en ce qui concerne les violences physiques qui auraient eu lieu au CHUV, la Chambre de céans dispose d’un large pouvoir d’examen en fait et en droit, qui lui permet de prendre en compte les courriers de la recourante postérieurs à l’ordonnance attaquée, ainsi que les nouveaux moyens factuels et juridiques contenus dans le mémoire de recours (cf. infra consid. 4).</w:t>
      </w:r>
    </w:p>
    <w:p>
      <w:r>
        <w:rPr>
          <w:b/>
        </w:rPr>
        <w:t>E. 2.3.3</w:t>
      </w:r>
    </w:p>
    <w:p>
      <w:r>
        <w:t>;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w:t>
      </w:r>
    </w:p>
    <w:p>
      <w:r>
        <w:rPr>
          <w:b/>
        </w:rPr>
        <w:t>E. 3</w:t>
      </w:r>
    </w:p>
    <w:p>
      <w:r>
        <w:t>La recourante, en se fondant sur l’infraction de faux dans les titres, qui se poursuit d’office, soutient que sa plainte du 1 er avril 2024, complétée le 4 avril 2024, ne serait pas tardive. Or, comme déjà mentionné ci-dessus, les faits susceptibles de constituer une infraction de faux dans les titres ne ressortent pas de la plainte précitée, mais du complément de plainte du 5 juin 2024, et ne sont donc pas concernés par l’ordonnance attaquée. Pour le surplus, la recourante ne conteste pas que le fait pour son mari d’avoir prélevé sans droit sur son compte épargne de l’argent constituerait une utilisation frauduleuse d’un ordinateur commise au préjudice des proches et des familiers au sens de l’art. 147 al. 3 CP, infraction ne se poursuivant que sur plainte, ni qu’elle aurait eu connaissance de ces faits depuis déjà de nombreux mois, voire des années. Par conséquent, à l’instar du Ministère public, il y a lieu de considérer que la plainte du 1 er avril 2024, complétée le 4 avril 2024, n’a pas été déposée dans un délai de trois mois à compter de la connaissance de l’auteur (art. 31 CP) et qu’elle est dès lors tardive. Le recours doit donc être rejeté sur ce point.</w:t>
      </w:r>
    </w:p>
    <w:p>
      <w:r>
        <w:rPr>
          <w:b/>
        </w:rPr>
        <w:t>E. 4.1</w:t>
      </w:r>
    </w:p>
    <w:p>
      <w:r>
        <w:t>Concernant l’infraction de voies de fait faisant l’objet du complément de plainte du 4 avril 2024, la recourante soutient que les simples dénégations de son époux ne seraient pas suffisantes pour justifier une non-entrée en matière, dès lors qu’elle devrait être entendue, de même que les éventuels témoins de la scène, qui s’était déroulée dans un hôpital.</w:t>
      </w:r>
    </w:p>
    <w:p>
      <w:r>
        <w:rPr>
          <w:b/>
        </w:rPr>
        <w:t>E. 4.2.1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 ; TF 7B_115/2023 du 12 juillet 2024 consid. 4.1).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références citées ; TF 7B_630/2023 du 20 août 2024 consid. 3.2.1 ; TF 7B_5/2022 du 12 octobre 2023 consid. 4.1).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TF 7B_630/2023 précité consid. 3.2.1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consid. 3.2.1 ; TF 7B_5/2022 précité consid. 4.1 ; TF 6B_1148/2021 précité consid. 3.1 ; TF 6B_790/2022 du 15 juin 2023 consid. 4.2.2 ; TF 6B_996/2021 du 31 mai 2022 consid. 3.2).</w:t>
      </w:r>
    </w:p>
    <w:p>
      <w:r>
        <w:rPr>
          <w:b/>
        </w:rPr>
        <w:t>E. 4.2.2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w:t>
      </w:r>
    </w:p>
    <w:p>
      <w:r>
        <w:rPr>
          <w:b/>
        </w:rPr>
        <w:t>E. 4.3</w:t>
      </w:r>
    </w:p>
    <w:p>
      <w:r>
        <w:t>En l’espèce, conformément à la jurisprudence susmentionnée, le Ministère public pouvait statuer sans procéder à l’audition de la recourante. Celle-ci a pu exercer son droit d’être entendue au moyen du recours et a donc eu la possibilité de compléter sa plainte et de présenter ou de requérir des moyens de preuve complémentaires. Cela étant, dans son recours, la recourante n’expose pas le déroulement précis des faits, se contentant de reprocher au Ministère public de ne pas l’avoir entendue et de ne pas avoir interrogé d’éventuels témoins, indiquant à cet égard uniquement que « l’intervention d’un tiers est fort probable », sans désigner, même sommairement, les personnes présentes. C’est insuffisant au stade du recours. Dans ces conditions, il convient de constater, à l’instar du Ministère public, qu’il n’est pas possible d’apprécier la version de la recourante ou celle de son époux, qui conteste les faits qui lui sont reprochés, comme étant plus ou moins plausible. Le recours doit donc être rejeté sur ce point également.</w:t>
      </w:r>
    </w:p>
    <w:p>
      <w:r>
        <w:rPr>
          <w:b/>
        </w:rPr>
        <w:t>E. 5</w:t>
      </w:r>
    </w:p>
    <w:p>
      <w:r>
        <w:t>Au vu de l’ensemble des considérants qui précèdent, c’est à bon droit que le Ministère public a refusé d’entrer en matière sur la plainte déposée par la recourante le 1 er avril 2024, complétée le 4 avril 2024.</w:t>
      </w:r>
    </w:p>
    <w:p>
      <w:r>
        <w:rPr>
          <w:b/>
        </w:rPr>
        <w:t>E. 6.1</w:t>
      </w:r>
    </w:p>
    <w:p>
      <w:r>
        <w:t>La recourante reproche au Ministère public de ne pas lui avoir accordé l’assistance judiciaire.</w:t>
      </w:r>
    </w:p>
    <w:p>
      <w:r>
        <w:rPr>
          <w:b/>
        </w:rPr>
        <w:t>E. 6.2</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w:t>
      </w:r>
    </w:p>
    <w:p>
      <w:r>
        <w:rPr>
          <w:b/>
        </w:rPr>
        <w:t>E. 6.3</w:t>
      </w:r>
    </w:p>
    <w:p>
      <w:r>
        <w:t>En l’espèce, l’ordonnance attaquée étant confirmée, il n’y a pas matière à mettre la recourante au bénéfice de l’assistance judiciaire gratuite en lien avec la plainte qu’elle a déposée le 1 er avril 2024 et complétée le 4 avril 2024, l’action civile étant à cet égard vouée à l’échec. Il appartiendra à la recourante, le cas échéant, de réitérer sa requête devant le Ministère public pour faire aboutir sa plainte du 5 juin 2024 relative à l’infraction de faux dans les titres.</w:t>
      </w:r>
    </w:p>
    <w:p>
      <w:r>
        <w:rPr>
          <w:b/>
        </w:rPr>
        <w:t>E. 7</w:t>
      </w:r>
    </w:p>
    <w:p>
      <w:r>
        <w:t>En définitive, le recours doit être rejeté dans la mesure où il est recevable et l’ordonnance attaquée confirmée. Le dossier de la cause sera renvoyé au Ministère public pour qu’il procède dans le sens des considérants (cf. consid. 2.3). La requête tendant à l’octroi de l’assistance judiciaire gratuite pour la procédure de recours doit être rejetée, dès lors que le recours était d’emblée dénué de toute chance de succès (art. 136 al. 1 CPP). Les frais de la procédure, constitués en l’espèce de l’émolument d’arrêt, par 1’650 fr. (art. 20 al. 1 TFIP), seront mis à la charge de T.B.________, qui succombe (art. 428 al. 1 CPP). Par ces motifs, la Chambre des recours pénale prononce : I. Le recours est rejeté dans la mesure où il est recevable. II. L’ordonnance du 6 juin 2024 est confirmée. III. Le dossier de la cause est renvoyé au Ministère public de l’arrondissement de Lausanne pour qu’il procède dans le sens des considérants. IV. La requête d’assistance judiciaire est rejetée. V. Les frais d’arrêt, par 1'650 fr. (mille six cent cinquante francs), sont mis à la charge de T.B.________. VI. L’arrêt est exécutoire Le président :               La greffière : Du Le présent arrêt, dont la rédaction a été approuvée à huis clos, est notifié, par l'envoi d'une copie complète, à : - Me Raphaël Tatti, avocat (pour T.B.________), - Ministère public central ; et communiqué à : ‑ M. le Procureur de l’arrondissement de Lausanne, - Me Fabien Mingard, avocat (pour G.B.________),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