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729 vom 26. September 2024</w:t>
      </w:r>
    </w:p>
    <w:p>
      <w:r>
        <w:t>VD Tribunal cantonal, 2024-09-26, FR</w:t>
      </w:r>
    </w:p>
    <w:p>
      <w:r>
        <w:rPr>
          <w:b/>
        </w:rPr>
        <w:t xml:space="preserve">Quelle: </w:t>
      </w:r>
      <w:r>
        <w:t>https://mcp.opencaselaw.ch/entscheid/vd_findinfo_D_cision___2024___729</w:t>
      </w:r>
    </w:p>
    <w:p>
      <w:r>
        <w:t>FR: VD_FINDINFO Décision / 2024 / 729 du 26 septembre 2024</w:t>
      </w:r>
    </w:p>
    <w:p>
      <w:r>
        <w:t>IT: VD_FINDINFO Décision / 2024 / 729 del 26 settembre 2024</w:t>
      </w:r>
    </w:p>
    <w:p>
      <w:pPr>
        <w:pStyle w:val="Heading2"/>
      </w:pPr>
      <w:r>
        <w:t>Regeste</w:t>
      </w:r>
    </w:p>
    <w:p>
      <w:r>
        <w:t>DÉCISION D'IRRECEVABILITÉ, EXÉCUTION DES PEINES ET DES MESURES, MOYEN DE DROIT | 3 al. 1 LPA-VD, 3 al. 2 LPA-VD</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Selon l'art. 3 al. 1 LPA-VD (Loi sur la procédure administrative du 28 octobre 2008; BLV 173.36), est une décision toute mesure prise par une autorité dans un cas d'espèce, en application du droit public, et ayant pour objet de créer, de modifier ou d'annuler des droits et obligations (a), de constater l'existence, l'inexistence ou l'étendue de droits et obligations (b), de rejeter ou de déclarer irrecevables des demandes tendant à créer, modifier, annuler ou constater des droits et obligations (c). Sont également des décisions les décisions incidentes, les décisions sur réclamation ou sur recours, les décisions en matière d'interprétation ou de révision (al. 2). Une décision au sens de l'alinéa 1, lettre b), ne peut être rendue que si une décision au sens des lettres a) ou c) ne peut pas l'être (al. 3).</w:t>
      </w:r>
    </w:p>
    <w:p>
      <w:r>
        <w:rPr>
          <w:b/>
        </w:rPr>
        <w:t>E. 1.3</w:t>
      </w:r>
    </w:p>
    <w:p>
      <w:r>
        <w:t>En l'occurrence, le recourant expose que la demande de la Direction des EPO du 4 septembre 2024 de le changer de secteur doit être rejetée. A l’appui de son recours, il a produit la lettre du 4 septembre 2024 de l’OEP lui impartissant un délai de trois jours pour se déterminer dans le cadre de la procédure de transfert dans un autre établissement d’exécution initiée à la demande de la direction des EPO, et dans le cadre de la procédure de révocation éventuelle de son placement en secteur ouvert. Le courrier du 4 septembre 2024 ne constitue manifestement pas une décision, mais un simple courrier sur lequel le recourant était appelé à se déterminer. Le recours du 9 septembre 2024 n'étant pas dirigé contre une décision au sens de l'art.</w:t>
      </w:r>
    </w:p>
    <w:p>
      <w:r>
        <w:rPr>
          <w:b/>
        </w:rPr>
        <w:t>E. 3</w:t>
      </w:r>
    </w:p>
    <w:p>
      <w:r>
        <w:t>LPA-VD (cf. consid. 1.2 supra), il est irrecevable.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 F.________ , - Ministère public central, et communiqué à : ‑ Office d'exécution des peines ,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