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443 vom 17. Juni 2024</w:t>
      </w:r>
    </w:p>
    <w:p>
      <w:r>
        <w:t>VD Tribunal cantonal, 2024-06-17, FR</w:t>
      </w:r>
    </w:p>
    <w:p>
      <w:r>
        <w:rPr>
          <w:b/>
        </w:rPr>
        <w:t xml:space="preserve">Quelle: </w:t>
      </w:r>
      <w:r>
        <w:t>https://mcp.opencaselaw.ch/entscheid/vd_findinfo_D_cision___2024___443</w:t>
      </w:r>
    </w:p>
    <w:p>
      <w:r>
        <w:t>FR: VD_FINDINFO Décision / 2024 / 443 du 17 juin 2024</w:t>
      </w:r>
    </w:p>
    <w:p>
      <w:r>
        <w:t>IT: VD_FINDINFO Décision / 2024 / 443 del 17 giugno 2024</w:t>
      </w:r>
    </w:p>
    <w:p>
      <w:pPr>
        <w:pStyle w:val="Heading2"/>
      </w:pPr>
      <w:r>
        <w:t>Regeste</w:t>
      </w:r>
    </w:p>
    <w:p>
      <w:r>
        <w:t>RÉCUSATION, REJET DE LA DEMANDE, VIOLATION D'UNE OBLIGATION D'ENTRETIEN, ORDONNANCE DE NON-ENTRÉE EN MATIÈRE, MOTIVATION DE LA DEMANDE, QUALITÉ POUR RECOURIR | 292 CP, 310 CPP (CH), 382 al. 1 CPP (CH), 385 al. 1 CPP (CH), 56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Les parties peuvent attaquer une ordonnance de non-entrée en matière rendue par le Ministère public (art. 310 CPP) dans les dix jours devant l’autorité de recours (art. 310 al. 2, 322 al. 2 et 396 al. 1 CPP ; cf. art. 20 al.</w:t>
      </w:r>
    </w:p>
    <w:p>
      <w:r>
        <w:rPr>
          <w:b/>
        </w:rPr>
        <w:t>E. 1.2</w:t>
      </w:r>
    </w:p>
    <w:p>
      <w:r>
        <w:t>Conformément à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141 IV 1 consid. 3.1 ; ATF 138 IV 258 consid. 2.3 ; ATF 129 IV 95 consid. 3.1 ; TF 6B_940/2021 du 9 février 2023 consid. 2.1.1). Il ne suffit pas que le recourant soit atteint dans ses droits par effet réflexe (Schmid/Jositsch, Praxiskommentar, n. 2 ad art. 382 CPP). En effet, un seul intérêt de fait ne suffit pas à conférer la qualité pour recourir (Calame, in : Jeanneret et al. [éd.], Commentaire romand, Code de procédure pénale suisse, 2 e éd., Bâle 2019 [ci-après : CR CPP], n. 1 ad art. 382 CPP). Le recourant doit ainsi établir que la décision attaquée viole une règle de droit qui a pour but de protéger ses intérêts et qu’il peut par conséquent en déduire un droit subjectif. L’intérêt doit donc être personnel (ATF 131 IV 191 consid. 1.2.1 ; JdT 2015 III 256 ; Calame, in : CR CPP, op. cit., n. 2 ad art. 382 CPP).</w:t>
      </w:r>
    </w:p>
    <w:p>
      <w:r>
        <w:rPr>
          <w:b/>
        </w:rPr>
        <w:t>E. 1.3</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L’art. 385 al. 2, 1 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w:t>
      </w:r>
    </w:p>
    <w:p>
      <w:r>
        <w:rPr>
          <w:b/>
        </w:rPr>
        <w:t>E. 1.4</w:t>
      </w:r>
    </w:p>
    <w:p>
      <w:r>
        <w:t>En l’espèce, le recourant, qui conclut à l’annulation de l’ordonnance entreprise dans sa totalité, ne motive son recours que sur la question de l’application de l’art. 292 CP au cas 1 susmentionné. Même si l’on discerne que le recourant dénonce une situation qu’il qualifie d’« aliénation maternelle », il ne développe aucune argumentation explicite – factuelle ou juridique – contre la décision entreprise, respectivement sa motivation en tant qu’elle porte sur les cas 2 à 4. En particulier, le recourant n’argumente pas véritablement sur le raisonnement suivi par le Ministère public pour fonder sa décision de ne pas entrer en matière, s’agissant notamment de l’absence de for en ce qui concerne le cas 2, respectivement de l’absence de qualité pour déposer plainte du recourant pour les faits décrits sous cas 2 et 3, voire de l’absence de plainte en ce qui concerne les faits objets des cas 3 et 4. En d’autres termes, sur ces points précis, le recourant n’expose pas en quoi la procureure aurait violé le droit ou apprécié faussement les faits. Faute de motivation topique, le recours ne satisfait dès lors pas aux exigences de l'art. 385 al. 1 CPP, étant précisé qu’un tel défaut de motivation ne saurait justifier qu'un délai supplémentaire soit fixé au recourant pour compléter son acte en application de l'alinéa 2 de cette même disposition. Le recours est donc irrecevable en tant qu’il porte sur les cas 2 à 4. Pour le surplus, dans la mesure où on peut conclure que si la mention de l’art. 292 CP avait figuré dans la convention de mesures provisionnelles du 28 novembre 2018, le recourant aurait pu avoir la qualité de partie plaignante puisque cette disposition tend également à protéger, indirectement, celui dont les intérêts privés ont été effectivement touchés par l’acte en cause (TF 1B_253/2019 du 11 novembre 2019 consid. 5. 1 et les références citées), il y a lieu de lui reconnaitre la qualité pour recourir (art. 382 al. 1 CPP). Partant, son recours, déposé en temps utile devant l’autorité compétente, est recevable en tant qu’il porte sur le cas 1.</w:t>
      </w:r>
    </w:p>
    <w:p>
      <w:r>
        <w:rPr>
          <w:b/>
        </w:rPr>
        <w:t>E. 2.1</w:t>
      </w:r>
    </w:p>
    <w:p>
      <w:r>
        <w:t>A cet égard, le recourant se prévaut de l’art. 274 al. 1 CC (Code civil suisse du 10 décembre 1907 ; RS 210), qui prévoit que les pères et mères doivent veiller à ne pas perturber les relations de l’enfant avec l’autre parent et à ne pas rendre l’éducation plus difficile, du fait qu’il est titulaire de l’autorité parentale conjointe sur sa fille Y.________ et que la garde sur celle-ci s’exerce de manière alternée entre les parents. Le recourant invoque encore l’art. 8 CEDH (Convention de sauvegarde des droits de l’homme et des libertés fondamentales du 4 novembre 1950 ; RS 0.101), qui garantit le droit au respect de la vie privée et familiale.</w:t>
      </w:r>
    </w:p>
    <w:p>
      <w:r>
        <w:rPr>
          <w:b/>
        </w:rPr>
        <w:t>E. 2.2.1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2.2.2</w:t>
      </w:r>
    </w:p>
    <w:p>
      <w:r>
        <w:t>Aux termes de l’art. 292 CP – dans la teneur en vigueur depuis le 1 er juillet 2023 (RO 2023 p. 259 ; FF 2018 p. 2889) – quiconque ne se sera pas conformé à une décision à lui signifiée, sous la menace de la peine prévue au présent article, par une autorité ou un fonctionnaire compétents, sera puni d’une amende.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(ATF 124 IV 297 consid. 4d). Cette exigence de précision est une conséquence du principe nullum crimen sine lege de l’art. 1 CP (cf. ATF 127 IV 119 consid. 2a et les références citées). L’insoumission à une décision de l’autorité n’est punissable que si la commination a été signifiée sous la menace de la peine prévue par cette disposition. La notification de l’injonction doit indiquer avec précision les sanctions auxquelles le destinataire s’expose s’il n’obtempère pas. Il ne suffit pas de se référer à l’art. 292 CP ou de parler de sanctions pénales. Il faut indiquer précisément qu’une insoumission est, en vertu de l’art. 292 CP, passible de l’amende (ATF 105 IV 248 consid. 1 ; voir également ATF 131 IV 132 consid. 3 ; ATF 124 IV 297 précité consid. 4e). Cette disposition vise en premier lieu à sauvegarder les fondements juridiques de l'injonction faite par l'autorité (TF 6B_1157/2014 du 19 janvier 2015 consid. 2.1). Toutefois, comme mentionné ci-avant, elle protège aussi indirectement les intérêts publics ou privés pour la protection desquels l’injonction a été faite, de sorte qu’il faut aussi considérer comme lésé celui dont les intérêts privés ont été effectivement touchés par l’acte en cause (TF 1B_253/2019 du 11 novembre 2019 consid. 5. 1 et les références citées ; TF 6B_449/2015 du 2 mai 2016 consid. 4.1 ; CREP 16 octobre 2023/834 ; Riedo/Boner, in : Niggli/Wiprächtiger [éd.], Basler Kommentar, Strafrecht II, 4 e éd. 2019, n. 16 ad art. 292 StGB).</w:t>
      </w:r>
    </w:p>
    <w:p>
      <w:r>
        <w:rPr>
          <w:b/>
        </w:rPr>
        <w:t>E. 2.3</w:t>
      </w:r>
    </w:p>
    <w:p>
      <w:r>
        <w:t>En l’espèce, c’est à juste titre que le Ministère public a refusé d’entrer en matière s’agissant des faits décrits sous cas 1 ci-dessus. En effet, la convention de mesures provisionnelles signée par les parties le 28 novembre 2018 et ratifiée par la Présidente du Tribunal de l’arrondissement de La Côte le même jour ne prévoit pas d’injonction faite à F.________ sous la menace de la peine d’amende prévue à l’art. 292 CP, de sorte que la condition d’application de cette disposition fait défaut (cf. art. 310 al. 1 let. a CPP). Mal fondé, ce grief doit être écarté.</w:t>
      </w:r>
    </w:p>
    <w:p>
      <w:r>
        <w:rPr>
          <w:b/>
        </w:rPr>
        <w:t>E. 3.1</w:t>
      </w:r>
    </w:p>
    <w:p>
      <w:r>
        <w:t>Dans un second grief, le recourant accuse la procureure en charge du dossier de prendre systématiquement parti pour F.________ et se réfère à toute une série d’enquêtes – pas moins de 7 – diligentées par celle-ci entre 2019 et 2020, dont une affaire référencée sous PE19.013020, dans laquelle la magistrate lui aurait intimé l’ordre de ne plus faire de commentaires à des tiers en mentionnant l’infidélité de son ex-compagne comme motif de leur rupture. A cet égard, il conclut à l’admission de son recours et au renvoi du dossier à un autre procureur, ce par quoi il faut comprendre qu’il demande implicitement la récusation de la procureure [...]. Dans ses déterminations du 17 mai 2024, la procureure relève que le recourant se fonde sur des décisions rendues dans le cadre d’anciennes procédures, soit il y a 4 ans, de sorte que sa demande de récusation serait tardive. Quoi qu’il en soit, les griefs qu’il invoque ne laisseraient aucunement apparaitre la moindre prévention de sa part.</w:t>
      </w:r>
    </w:p>
    <w:p>
      <w:r>
        <w:rPr>
          <w:b/>
        </w:rPr>
        <w:t>E. 3.2.1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lorsque le ministère public, les autorités pénales compétentes en matière de contraventions et les tribunaux de première instance sont concernés.</w:t>
      </w:r>
    </w:p>
    <w:p>
      <w:r>
        <w:rPr>
          <w:b/>
        </w:rPr>
        <w:t>E. 3.2.2</w:t>
      </w:r>
    </w:p>
    <w:p>
      <w:r>
        <w:t>; TF 7B_189/2023 du 16 octobre 2023 consid. 2.2.1 ; TF 1B_407/2022 du 20 décembre 2022 consid. 5.1).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148 IV 137 consid. 2.2 ; ATF 143 IV 69 consid. 3.2). L'impartialité subjective d'un magistrat se présume jusqu'à preuve du contraire (ATF 136 III 605 consid. 3.2.1 ; TF 7B_189/2023 précité ; TF 7B_156/2023 du 31 juillet 2023 consid. 2.1.1).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TF 7B_189/2023 précité ; TF 7B_156/2023 du 31 juillet 2023 consid. 2.1.2 ; TF 7B_186/2023 du 19 juillet 2023 consid. 3.1).</w:t>
      </w:r>
    </w:p>
    <w:p>
      <w:r>
        <w:rPr>
          <w:b/>
        </w:rPr>
        <w:t>E. 3.3.1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 TF 7B_266/2023 du</w:t>
      </w:r>
    </w:p>
    <w:p>
      <w:r>
        <w:rPr>
          <w:b/>
        </w:rPr>
        <w:t>E. 3.3.2</w:t>
      </w:r>
    </w:p>
    <w:p>
      <w:r>
        <w:t>En l’espèce, la question de la tardiveté de la demande de récusation se pose. En effet, le recourant ne démontre pas avoir sollicité de la procureure [...] sa récusation, ni qu’elle l’aurait refusée. Cela étant, dans la mesure où le recourant n’a pas été informé que sa plainte, respectivement sa dénonciation du mois d’août 2023 avaient été confiées à cette magistrate avant la reddition de l’ordonnance litigieuse, et que le délai de 6-7 jours a commencé à courir à réception de celle-ci, soit à une date inconnue, il y a lieu d’admettre que la demande de récusation contenue dans le recours du 21 février 2024 a été déposée en temps utile, de sorte qu’elle est recevable.</w:t>
      </w:r>
    </w:p>
    <w:p>
      <w:r>
        <w:rPr>
          <w:b/>
        </w:rPr>
        <w:t>E. 3.4.1</w:t>
      </w:r>
    </w:p>
    <w:p>
      <w:r>
        <w:t>Un magistrat est récusable pour l'un des motifs prévus aux art. 56 let. a à e CPP. Ainsi, 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au sens de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 cause » au sens de l'art. 56 let. b CPP implique une triple identité de parties, de procédure et de questions litigieuses. Le cas de récusation visé par cette disposition présuppose aussi que le magistrat en question ait agi à « un autre titre », soit dans des fonctions différentes (ATF 143 IV 69 consid. 3.1). La garantie du juge impartial ne commande pas non plus la récusation d’un juge au simple motif qu’il a, dans une procédure antérieure – voire dans la même affaire –, tranché en défaveur du requérant (ATF 143 IV 69 précité ; ATF 129 III 445 consid. 4.2.2.2 ; ATF 114 Ia 278 consid. 1). Un magistrat est également récusable selon l'art. 56 let. f CPP, « lorsque d'autres motifs, notamment un rapport d'amitié étroit ou d'inimitié avec une partie ou son conseil juridique, sont de nature à le rendre suspect de prévention ». Cette disposition a la portée d'une clause générale recouvrant tous les motifs de récusation non expressément prévus aux lettres précédentes. L'art. 56 let. f CPP correspond à la garantie d'un tribunal indépendant et impartial instituée par les art. 30 Cst. et 6 CEDH (ATF 148 IV 137 consid. 2.2 ; ATF 143 IV 69 consid. 3.2). Elle concrétise aussi les droits déduits de l'art. 29 al. 1 Cst. garantissant l'équité du procès et assure au justiciable cette protection lorsque d'autres autorités ou organes que des tribunaux sont concernés (ATF 141 IV 178 consid.</w:t>
      </w:r>
    </w:p>
    <w:p>
      <w:r>
        <w:rPr>
          <w:b/>
        </w:rPr>
        <w:t>E. 3.4.2</w:t>
      </w:r>
    </w:p>
    <w:p>
      <w:r>
        <w:t>Selon l'art. 61 let. a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ATF 138 IV 142 consid. 2.2.1 ; TF 7B_189/2023 précité consid. 2.2.2 ; TF 7B_186/2023 précité consid. 3.2).</w:t>
      </w:r>
    </w:p>
    <w:p>
      <w:r>
        <w:rPr>
          <w:b/>
        </w:rPr>
        <w:t>E. 3.5</w:t>
      </w:r>
    </w:p>
    <w:p>
      <w:r>
        <w:t>En l’espèce, le recourant fonde sa demande de récusation sur les seules décisions rendues précédemment par la procureure en faveur de F.________. Ce motif ne saurait suffire pour faire redouter une activité partiale de la magistrate, une décision défavorable n’emportant pas prévention. Il n’existe donc manifestement aucun indice de nature à remettre en cause l’impartialité de la magistrate en charge de l’affaire de sorte que ce grief, mal fondé, doit être rejeté. 4. En définitive, le recours doit être rejeté dans la mesure de sa recevabilité, la demande de récusation rejetée et l’ordonnance entreprise confirmée. Les frais de la procédure de recours, constitués en l’espèce du seul émolument d’arrêt (art. 422 al. 1 CPP), par 1’430 fr. (art. 20 al. 1 TFIP [tarif des frais de procédure et indemnités en matière pénale du 28 septembre 2010 ; BLV 312.03.1]), seront mis à la charge du recourant, qui succombe (art. 428 al. 1 CPP). L'avance de frais de 550 fr. versée par le précité à titre de sûretés sera imputée sur les frais d'arrêt mis à sa charge (art. 7 TFIP), le solde en faveur de l’Etat s’élevant ainsi à 880 francs. Par ces motifs, la Chambre des recours pénale prononce : I. Le recours est rejeté dans la mesure de sa recevabilité. II. La demande de récusation est rejetée. III. L’ordonnance du 14 février 2024 est confirmée. IV. Les frais d’arrêt, par 1’430 fr. (mille quatre cent trente francs), sont mis à la charge de D.________. V. Le montant de 550 fr. (cinq cent cinquante francs) versé par D.________ à titre de sûretés est imputé sur les frais mis à sa charge au chiffre IV ci-dessus, et le solde dû à l’Etat par celui-ci s’élève à 880 fr. (huit cent huitante francs). VI. L’arrêt est exécutoire. Le président :               La greffière : Du Le présent arrêt, dont la rédaction a été approuvée à huis clos, est notifié, par l'envoi d'une copie complète, à : - M. D.________, - Ministère public central, et communiqué à : ‑ Mme F.________,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décembre 2023 consid. 3.2). De jurisprudence constante, les réquisits temporels de l'art. 58 al. 1 CPP sont satisfaits lorsque la demande de récusation est déposée dans les six à sept jours qui suivent la connaissance de la cause de récusation, tandis qu'ils ne le sont pas lorsqu'elle est formée trois mois, deux mois, deux à trois semaines ou vingt jours après que son auteur a pris connaissance du motif de récusation. Il incombe à la partie qui se prévaut d'un motif de récusation de rendre vraisemblable qu'elle a agi en temps utile, en particulier eu égard au moment de la découverte de ce motif (TF 7B_266/2023 précité ; TF 1B_163/2022 du 27 février 2023 consid. 3.1 et les arrêts cités). Aux termes de l'art. 58 al. 2 CPP, la personne concernée prend position sur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