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33 vom 16. Januar 2024</w:t>
      </w:r>
    </w:p>
    <w:p>
      <w:r>
        <w:t>VD Tribunal cantonal, 2024-01-16, FR</w:t>
      </w:r>
    </w:p>
    <w:p>
      <w:r>
        <w:rPr>
          <w:b/>
        </w:rPr>
        <w:t xml:space="preserve">Quelle: </w:t>
      </w:r>
      <w:r>
        <w:t>https://mcp.opencaselaw.ch/entscheid/vd_findinfo_D_cision___2024___33</w:t>
      </w:r>
    </w:p>
    <w:p>
      <w:r>
        <w:t>FR: VD_FINDINFO Décision / 2024 / 33 du 16 janvier 2024</w:t>
      </w:r>
    </w:p>
    <w:p>
      <w:r>
        <w:t>IT: VD_FINDINFO Décision / 2024 / 33 del 16 gennaio 2024</w:t>
      </w:r>
    </w:p>
    <w:p>
      <w:pPr>
        <w:pStyle w:val="Heading2"/>
      </w:pPr>
      <w:r>
        <w:t>Regeste</w:t>
      </w:r>
    </w:p>
    <w:p>
      <w:r>
        <w:t>MANDAT DE PERQUISITION, REJET DE LA DEMANDE, TÉLÉPHONE MOBILE, DROIT D'ÊTRE ENTENDU, INTÉRÊT PUBLIC | 29 al. 2 Cst., 197 al. 1 CPP (CH), 246 CPP (CH)</w:t>
      </w:r>
    </w:p>
    <w:p>
      <w:pPr>
        <w:pStyle w:val="Heading2"/>
      </w:pPr>
      <w:r>
        <w:t>Erwägungen</w:t>
      </w:r>
    </w:p>
    <w:p>
      <w:r>
        <w:rPr>
          <w:b/>
        </w:rPr>
        <w:t>E. 1.1</w:t>
      </w:r>
    </w:p>
    <w:p>
      <w:r>
        <w:t>Les parties peuvent attaquer un mandat de perquisition rendu par le ministère public (art. 241 et 393 al. 1 let. a CPP ; Hohl-Chirazi, Commentaire romand, Code de procédure pénale suisse, 2 e éd., Bâle 2019, n. 53 ad art. 241 CPP ; CREP 20 février 2023/94) dans les dix jours devant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d’F.________ est recevable.</w:t>
      </w:r>
    </w:p>
    <w:p>
      <w:r>
        <w:rPr>
          <w:b/>
        </w:rPr>
        <w:t>E. 2.1</w:t>
      </w:r>
    </w:p>
    <w:p>
      <w:r>
        <w:t>Invoquant une violation de son droit d’être entendu, le recourant s’oppose à la perquisition de son téléphone portable. Il fait valoir que le mandat de perquisition n’indique pas les faits reprochés ni les infractions envisagées.</w:t>
      </w:r>
    </w:p>
    <w:p>
      <w:r>
        <w:rPr>
          <w:b/>
        </w:rPr>
        <w:t>E. 2.2</w:t>
      </w:r>
    </w:p>
    <w:p>
      <w:r>
        <w:t>Le droit d'être entendu, tel qu'il est garanti par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142 II 218 consid. 2.3). L'obligation de motiver, telle qu'elle découle du droit d'être entendu (art. 29 al. 2 Cst. ; cf. aussi art. 3 al. 2 let. c et 107 CPP), est respectée lorsque le juge mentionne, au moins brièvement, les motifs qui l'ont guidé et sur lesquels il a fondé sa décision (ATF 146 II 335 consid. 5.1), de manière à ce que l'intéressé puisse se rendre compte de la portée de celle-ci et l'attaquer en connaissance de cause (ATF 143 IV 40 consid. 3.4.3 ; ATF 141 IV 249 consid. 1.3.1 ; ATF 139 IV 179 consid. 2.2). Il n'a toutefois pas l'obligation d'exposer et de discuter tous les faits, moyens de preuve et griefs invoqués par les parties, mais peut au contraire se limiter à ceux qui lui paraissent pertinents (ATF 142 II 154 consid. 4.2 ; ATF 139 IV 179 consid. 2.2). La motivation peut être implicite et résulter des différents considérants de la décision (ATF 141 V 557 consid. 3.2.1 ; TF 6B_1246/2022 du 11 octobre 2023 consid. 3.1.et les réf. cit.).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et les réf. cit. ; ATF 142 II 218 consid. 2.8.1 et les réf. cit. ; TF 6B_659/2022 du 17 mai 2023 consid. 3.2). La Chambre des recours pénale dispose d'un pouvoir d'examen complet en fait et en droit permettant de guérir un tel vice procédural (ATF 148 IV 22 consid. 5.5.2 ; ATF 145 I 167 consid. 4.4 ; ATF 142 II 218 consid. 2.8.1 ; CREP 3 mars 2022/152 consid. 2.2.2 ; CREP 24 août 2021/768 consid. 2.2.2).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6B_659/2022 du 17 mai 2023 consid. 3.2 et les réf. cit.).</w:t>
      </w:r>
    </w:p>
    <w:p>
      <w:r>
        <w:rPr>
          <w:b/>
        </w:rPr>
        <w:t>E. 2.3</w:t>
      </w:r>
    </w:p>
    <w:p>
      <w:r>
        <w:t>En l’espèce, le recourant ne conteste le mandat de la procureure que dans la mesure où il ordonne la perquisition de son téléphone portable iPhone 13 Pro Max doré IMEI [...], de sorte que l’objet du recours est limité à la perquisition de cet appareil. Il peut être donné acte au recourant que le mandat de perquisition attaqué ne mentionne pas les faits qui lui sont reprochés ni les infractions envisa­gées. Toutefois, il ressort des procès-verbaux de ses auditions que le recourant a été informé par la police et par la procureure qu’il lui était reproché d’avoir commis ou tenté de commettre des vols par effraction et par introduction clandestine dans des établissements publics, dans des caves et dans des véhicules, ainsi que d’avoir séjourné illégalement en Suisse (PV aud. 1 D. 2 ; PV aud. 2 ll. 20-23), que les faits en raison desquels une instruction pénale était ouverte à son encontre lui ont été clairement exposés et qu’il a eu l’occasion de s’exprimer sur ceux-ci. Le recourant a du reste été placé en détention provisoire en raison des faits reprochés évoqués lors de ses auditions. Par ailleurs, la question de la perquisition de son téléphone porta­ble a été évoquée lors de ses deux auditions qui ont eu lieu en présence de son défenseur d’office. Le recourant a tout d’abord indiqué à la police qu’il n’était pas d’accord que celle-ci procède à une extraction des données contenues dans son téléphone portable et qu’il n’y avait « rien concernant d’autres délits » (PV aud. 1 R. 8 p. 5). Puis, lors de son audition d’arrestation, F.________ a déclaré accepter que le Ministère public consulte les données qui se trouvaient sur son téléphone portable et a communiqué le code permettant de le déver­rouiller (PV aud. 2 ll. 41-46), avant de finalement déclarer à la procureure qu’il ne voulait pas qu’elle consulte les données de son téléphone porta­ble et qu’il recourrait contre le mandat de perqui­sition ordonnant cette mesure (PV aud. 2 ll. 170-174). Dans ces circonstances, le recourant savait pertinemment ce qui lui était reproché et quel téléphone portable serait perquisitionné lorsque le mandat de perquisition a été délivré par la procureure. Le fait que le mandat litigieux ne men­tionne pas les faits reprochés ni les infractions envisagées ne constitue donc pas une atteinte particulière­ment grave au droit d’être entendu du recourant ne pouvant pas être réparée dans le cadre de la procédure de recours, d’autant que la Chambre de céans dispose d'un pouvoir d'examen complet en fait et en droit (cf. supra consid. 2.2). Mal fondé, ce grief doit être rejeté.</w:t>
      </w:r>
    </w:p>
    <w:p>
      <w:r>
        <w:rPr>
          <w:b/>
        </w:rPr>
        <w:t>E. 3.1</w:t>
      </w:r>
    </w:p>
    <w:p>
      <w:r>
        <w:t>Invoquant une violation de sa sphère privée, le recourant allègue qu’il aurait précisé à la police, lors de son audition du 4 janvier 2024, que son téléphone portable ne contenait rien en lien avec l’enquête pénale en cours, que les éléments au dossier, en particulier les images de vidéosurveillance, les objets déjà saisis et les prochaines auditions des coprévenus, seraient suffisants pour élucider les faits, qu’il ne serait pas pertinent d’utiliser son téléphone portable comme moyen de preuve, partant de le séquestrer, et que l’intérêt à la protection de sa sphère privée l’empor­terait sur l’intérêt à la poursuite pénale.</w:t>
      </w:r>
    </w:p>
    <w:p>
      <w:r>
        <w:rPr>
          <w:b/>
        </w:rPr>
        <w:t>E. 3.2</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La section 3 « Perquisition de documents et enregistrements » règle aux art. 246 à 248a CPP la mise sous scellés et la procédure de levée de scellés :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(art. 246 CPP).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144 IV 74 consid. 2.1, JdT 2018 IV 170, spéc. 172).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suppose qu’il existe un rapport raisonnable entre les effets de la mesure sur la situation de la personne visée et le résultat escompté du point de vue de l’intérêt public (ATF 144 I 306 consid. 4.4.1 ; ATF 137 I 167 consid. 3.6 et les réf. cit.).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Code de procédure pénale, 2 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1B_452/2020 du 4 novembre 2020 consid. 2.2 et les réf. cit.).</w:t>
      </w:r>
    </w:p>
    <w:p>
      <w:r>
        <w:rPr>
          <w:b/>
        </w:rPr>
        <w:t>E. 3.3</w:t>
      </w:r>
    </w:p>
    <w:p>
      <w:r>
        <w:t>En l’espèce, le mandat de perquisition contesté mentionne les dispositions légales sur lesquelles il se fonde, à savoir les 241 ss et 246 ss CPP, de même que le but de la perquisition, soit « constater l’infraction, découvrir leurs auteurs et saisir tout objet et tout document ou donnée informatique utile aux investigations en cours ». Il est notamment reproché au recourant d’avoir participé à plusieurs vols dans des véhicules et dans un établissement public, et quatre de ces vols ont été perpétrés par effraction. Les soupçons de culpabilité à l’encontre du prévenu sont à ce stade suffisants pour justifier la mesure d’instruction ordonnée, d’autant que celui-ci a été placé en détention provisoire le 3 janvier 2024. Le recourant a tenu des propos contradictoires, de sorte que le fait qu’il prétend que son téléphone ne contient aucune donnée en lien avec les infractions reprochées n’est pas déterminant. A ce stade, l’étendue de l’activité délictueuse du recourant doit encore être définie. Certes des auditions doivent avoir lieu. Toutefois, l’extraction des données du téléphone portable du recourant et leur analyse sont propres à renseigner, le cas échéant, sur les personnes avec lesquelles le prévenu a été en contact avant, pendant et après son activité délic­tueuse, soit à établir l’identité de ses complices dont il a refusé de communiquer les noms (PV aud. 1 R. 6 et R. 7), et à déterminer l’ampleur de son activité délictueuse et de ses butins. La perquisition ordonnée est au surplus nécessaire à la manifestation de la vérité, aucune autre mesure d’enquête n’étant propre à atteindre le but visé. Partant, l’intérêt public à la recherche de la vérité doit l’emporter sur la protection de la sphère privée du prévenu. Mal fondé, ce moyen doit être rejeté.</w:t>
      </w:r>
    </w:p>
    <w:p>
      <w:r>
        <w:rPr>
          <w:b/>
        </w:rPr>
        <w:t>E. 4</w:t>
      </w:r>
    </w:p>
    <w:p>
      <w:r>
        <w:t>Au vu de ce qui précède, le recours interjeté par F.________, manifestement mal fondé, doit être rejeté sans échange d’écritures (art. 390 al. 2 CPP) et le mandat entrepris confirmé.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sur la base de la liste des opérations produite par Me Raphaël Hämmerli (P. 20) – dont il n’y pas lieu de s’écarter si ce n’est pour allouer des débours forfaitaires au taux de 2% (art. 3bis al. 1 RAJ [Règlement sur l'assistance judiciaire en matière civile du 7 décembre 2010 ; BLV 211.02.3] par renvoi de l'art. 26b TFIP) –, à 711 fr. (3h57 d’activité d’avocat au tarif horaire de 180 fr.), auxquels il convient d’ajouter les débours forfaitaires, par 14 fr. 20, plus la TVA au taux de 8,1% s’agissant d’opérations postérieures au 1 er janvier 2024, par 58 fr. 75, soit à 784 fr. au total en chiffres arrondis, seront mis à la charge du recourant, qui succombe (art. 428 al. 1 CPP). Par ces motifs, la Chambre des recours pénale prononce : I. Le recours est rejeté. II. Le mandat de perquisition et de perquisition documentaire du 4 janvier 2024 est confirmé. III. L’indemnité allouée à Me Raphaël Hämmerli, défenseur d’office d’F.________, est fixée à 784 fr. (sept cent huitante-quatre francs), débours et TVA compris. IV. Les frais d'arrêt, par 990 fr. (neuf cent nonante francs), ainsi que l'indemnité allouée à Me Raphaël Hämmerli, par 784 fr. (sept cent huitante-quatre francs), sont mis à la charge d’F.________. V. Le remboursement à l'Etat de l'indemnité allouée sous chiffre III ci-dessus ne sera exigible d’F.________ que pour autant que sa situation financière le permette. VI. L’arrêt est exécutoire. Le président :               La greffière : Du Le présent arrêt, dont la rédaction a été approuvée à huis clos, est notifié, par l'envoi d'une copie complète, à : - Me Raphaël Hämmerli, avocat (pour F.________),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