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280 vom 25. März 2024</w:t>
      </w:r>
    </w:p>
    <w:p>
      <w:r>
        <w:t>VD Tribunal cantonal, 2024-03-25, FR</w:t>
      </w:r>
    </w:p>
    <w:p>
      <w:r>
        <w:rPr>
          <w:b/>
        </w:rPr>
        <w:t xml:space="preserve">Quelle: </w:t>
      </w:r>
      <w:r>
        <w:t>https://mcp.opencaselaw.ch/entscheid/vd_findinfo_D_cision___2024___280</w:t>
      </w:r>
    </w:p>
    <w:p>
      <w:r>
        <w:t>FR: VD_FINDINFO Décision / 2024 / 280 du 25 mars 2024</w:t>
      </w:r>
    </w:p>
    <w:p>
      <w:r>
        <w:t>IT: VD_FINDINFO Décision / 2024 / 280 del 25 marzo 2024</w:t>
      </w:r>
    </w:p>
    <w:p>
      <w:pPr>
        <w:pStyle w:val="Heading2"/>
      </w:pPr>
      <w:r>
        <w:t>Regeste</w:t>
      </w:r>
    </w:p>
    <w:p>
      <w:r>
        <w:t>ADMISSION PARTIELLE, PREUVE ILLICITE, DÉFENSE OBLIGATOIRE | 5 al. 3 Cst., 130 CPP (CH), 131 CPP (CH), 3 al. 2 let. a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(art. 382 al. 1 CPP) et dans les formes prescrites (art. 385 al. 1 CPP), le recours est recevable.</w:t>
      </w:r>
    </w:p>
    <w:p>
      <w:r>
        <w:rPr>
          <w:b/>
        </w:rPr>
        <w:t>E. 2.1</w:t>
      </w:r>
    </w:p>
    <w:p>
      <w:r>
        <w:t>Le recourant fait valoir qu’il aurait été empêché sans faute de sa part de former opposition à l’ordonnance pénale du 14 décembre 2023, dans le délai de dix jours car son père, B.W.________, ne lui a pas remis l’avis de retrait de la poste. Il conteste ainsi que son comportement ait été fautif, son retard étant uniquement imputable à une erreur de transmission de la part de son père. Il estime en outre que sa demande de restitution de délai est motivée, son père ayant clairement exposé les circonstances ayant conduit à cette erreur. Enfin, il fait valoir « son engagement à faire valoir ses droits et à coopérer » et sollicite l’indulgence de la procureure pour tenir compte de sa « collaboration active dans des affaires récentes » faisant allusion à son aide dans la traque des fugitifs de la prison de [...] et dans la résolution de cambriolages dans son village, ces actions démontrant selon lui son « engagement envers la sécurité publique » et devant être prises en considération dans le réexamen de la situation.</w:t>
      </w:r>
    </w:p>
    <w:p>
      <w:r>
        <w:rPr>
          <w:b/>
        </w:rPr>
        <w:t>E. 2.2.1</w:t>
      </w:r>
    </w:p>
    <w:p>
      <w:r>
        <w:t>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Enfin, un acte de procédure adressé à une autorité incompétente est réputé accompli en temps utile s’il parvient le dernier jour du délai à une autorité incompétente suisse, qui a alors l’obligation de le transmettre sans retard (art. 91 al. 4 CPP). La restitution de délai suppose que la partie ou son mandataire a été empêché d'agir sans faute dans le délai fixé (ATF 143 I 284 consid. 1.3 ; TF 6B_53/2021 du 23 mai 2022 consid. 1.1 ; TF 6B_401/2019 du 1er juillet 2019 consid. 2.3 ; TF 6B_110/2016 du 27 juillet 2016 consid. 2.2, non publié in ATF 142 IV 286). Selon la jurisprudence, elle ne peut intervenir que lorsqu'un événement, par exemple une maladie ou un accident, met la partie objectivement ou subjectivement dans l'impossibilité d'agir par elle-même ou de charger une tierce personne d'agir en son nom dans le délai (TF 6B_53/2021 précité ; TF 6B_517/2021 du 16 juin 2021 consid. 1.1.1 ;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2 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w:t>
      </w:r>
    </w:p>
    <w:p>
      <w:r>
        <w:rPr>
          <w:b/>
        </w:rPr>
        <w:t>E. 2.2.2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(TF 6B_192/2021 du 27 septembre 2021 ; TF 8C_754/2018 du 7 mars 2019 consid. 7.2.1 et références citées).</w:t>
      </w:r>
    </w:p>
    <w:p>
      <w:r>
        <w:rPr>
          <w:b/>
        </w:rPr>
        <w:t>E. 2.3</w:t>
      </w:r>
    </w:p>
    <w:p>
      <w:r>
        <w:t>En l’espèce, le recourant ne conteste pas que l’ordonnance pénale lui ait bien été notifiée mais il soutient qu’il n’en n’a pas eu connaissance, car son père ne lui a pas remis l’avis de retrait de la poste, de sorte que son retard ne serait pas fautif. Ce faisant, A.W.________ perd toutefois de vue que l’éventuelle faute d’un auxiliaire lui est imputable et ne justifie pas une restitution de délai (cf. supra consid. 2.2.1). En outre, dans la mesure où A.W.________ se savait partie à la procédure puisqu’il avait été entendu par la police et le Ministère public, il n’est pas contestable qu’il devait s’attendre à recevoir notification d'actes de procédure du Ministère public et il lui appartenait ainsi de prendre ses dispositions pour être atteint et d’informer son père en ce sens. Ainsi, il est établi que son empêchement est fautif. Pour le surplus, les autres arguments du recourant, tirés de sa collaboration avec les autorités ou de sa bonne coopération, ne justifient pas non plus d’admettre sa demande de restitution de délai. Mal fondés, les arguments du recourant doivent ainsi être rejetés. C’est donc à bon droit que le Ministère public a rejeté la demande de restitution de délai d’A.W.________. 3. Au vu de ce qui précède, le recours interjeté par A.W.________, manifestement mal fondé, doit être rejeté sans échange d’écritures (art. 390 al. 2 CPP), et la décision du 5 mars 2024 confirmée. Le dossier de la cause sera renvoyé au Tribunal d’arrondissement de La Côte pour qu’il examine la demande de révision contenue dans l’acte du 26 février 2024, ou transmette le cas échéant le dossier à la Cour d’appel pénale comme objet de sa compétence (art. 411 al. 1 CPP). Vu le sort du recours, les frais de la procédure, constitués en l’espèce de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5 mars 2024 est confirmée. III. Le dossier de la cause est renvoyé au Tribunal d’arrondissement de La Côte pour qu’il procède dans le sens des considérants. IV. Les frais d’arrêt, par 880 fr. (huit cent huitante francs), sont mis à la charge d’A.W.________. V. L’arrêt est exécutoire. Le président :               La greffière : Du Le présent arrêt, dont la rédaction a été approuvée à huis clos, est notifié, par l'envoi d'une copie complète, à : - M. A.W.________, - Ministère public central, et communiqué à : - Mme la Procureure cantonale Strada, -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 TF 6B_125/2011 du 7 juillet 2011 consid. 1). Quant à la faute que pourrait commettre l’auxiliaire de la partie, elle est imputable à la partie elle-même (ATF 143 I 284 consid. 1.3 ; TF 6B_1108/2017 du 20 avril 2018 consid. 1.2 et les références citées) ; dans ce cas de figure, une restitution de délai est exclue (Stoll, in : Jeanneret/Kuhn/Perrier Depeursinge [éd.], Commentaire romand, Code de procédure pénale suisse, 2 e éd., Bâle 2019, n. 11 ad art. 94 CPP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