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148 vom 4. März 2024</w:t>
      </w:r>
    </w:p>
    <w:p>
      <w:r>
        <w:t>VD Tribunal cantonal, 2024-03-04, FR</w:t>
      </w:r>
    </w:p>
    <w:p>
      <w:r>
        <w:rPr>
          <w:b/>
        </w:rPr>
        <w:t xml:space="preserve">Quelle: </w:t>
      </w:r>
      <w:r>
        <w:t>https://mcp.opencaselaw.ch/entscheid/vd_findinfo_D_cision___2024___148</w:t>
      </w:r>
    </w:p>
    <w:p>
      <w:r>
        <w:t>FR: VD_FINDINFO Décision / 2024 / 148 du 4 mars 2024</w:t>
      </w:r>
    </w:p>
    <w:p>
      <w:r>
        <w:t>IT: VD_FINDINFO Décision / 2024 / 148 del 4 marzo 2024</w:t>
      </w:r>
    </w:p>
    <w:p>
      <w:pPr>
        <w:pStyle w:val="Heading2"/>
      </w:pPr>
      <w:r>
        <w:t>Regeste</w:t>
      </w:r>
    </w:p>
    <w:p>
      <w:r>
        <w:t>ADMISSION DE LA DEMANDE, DÉFENSE D'OFFICE, AVOCAT, ASSISTANCE JUDICIAIRE, INDEMNITÉ{EN GÉNÉRAL} | 132 CPP (CH), 136 CPP (CH)</w:t>
      </w:r>
    </w:p>
    <w:p>
      <w:pPr>
        <w:pStyle w:val="Heading2"/>
      </w:pPr>
      <w:r>
        <w:t>Erwägungen</w:t>
      </w:r>
    </w:p>
    <w:p>
      <w:r>
        <w:rPr>
          <w:b/>
        </w:rPr>
        <w:t>E. 1.1</w:t>
      </w:r>
    </w:p>
    <w:p>
      <w:r>
        <w:t>Une décision de refus ou de refus partiel de l'assistance judiciaire peut faire l'objet d'un recours aux conditions des art. 393 ss CPP (Harari/Corminboeuf Harari, in : Jeanneret et al. [éd.], Commentaire romand, Code de procédure pénale suisse, 2 e éd., Bâle 2019 [ci-après : CR CPP], n. 16 ad art. 136 CPP ; CREP 11 décembre 2023/1000 consid. 1.1 ; CREP 7 décembre 2022/942 consid. 1.1 ; CREP 14 novembre 2022/798 consid. 1.1).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déposé en temps utile auprès de l’autorité compétente et dans les formes prescrites (art. 385 al. 1 CPP), par la prévenue et partie plaignante qui a qualité pour recourir (art. 382 al. 1 CPP), le recours est recevable.</w:t>
      </w:r>
    </w:p>
    <w:p>
      <w:r>
        <w:rPr>
          <w:b/>
        </w:rPr>
        <w:t>E. 2.1</w:t>
      </w:r>
    </w:p>
    <w:p>
      <w:r>
        <w:t>La recourante reproche tout d’abord au procureur d’avoir estimé que l’action civile était vouée à l’échec. Elle expose que, selon la jurisprudence du Tribunal fédéral, le crédirentier serait fondé à prendre des conclusions civiles relatives aux contributions d’entretien impayées bien que celles-ci soient d’ores et déjà fixées par un jugement et que, par ailleurs, le fait qu’E.V.________ n’ait que tout à fait partiellement honoré ses obligations alimentaires la plongerait dans une précarité considérable, qui porterait atteinte à son intégrité psychique. Elle aurait ainsi été contrainte d’entreprendre un suivi thérapeutique dès le mois de mars 2021 et a déposé une plainte pénale complémentaire pour lésions corporelles simples qualifiées. La recourante argue que la réparation du tort moral subi au titre de l’atteinte à l’intégrité psychique dont elle se plaint fera ainsi partie des conclusions civiles qui seront prises devant l’autorité de jugement, et qu’elle demandera en outre la réparation du préjudice subi en lien avec la vente de la villa des parties, vraisemblablement à vil prix, dès lors qu’ayant été privée de la contribution d’entretien, elle n’aurait pas pu honorer les intérêts hypothécaires, si bien qu’une procédure d’exécution forcée interviendra prochainement. Enfin, la recourante soutient qu’elle revêtirait le statut de victime, de sorte que le constat du Ministère public selon lequel l’action civile serait vouée à l’échec contreviendrait également à l’art. 136 al. 1 let. b CPP dès le 1 er janvier 2024, l’assistance judiciaire et la désignation d’un conseil gratuit ayant été étendues à la victime dès cette date. La recourante estime en outre qu’il serait faux de retenir que la cause est simple en fait et en droit. Il n’est, selon elle, pas exclu que le seuil de 4 mois de peine privative de liberté ou de 120 jours-amende prévu à l’art. 132 al. 3 CPP soit atteint par le jeu du concours puisqu’elle est prévenue d’escroquerie et de violation grave des règles de la circulation routière. Elle expose en outre qu’elle participe à la procédure en tant que partie plaignante et en tant que victime, que la procédure mêle plusieurs personnes et comprend sept plaintes pénales (dont une retirée), que le dossier pénal s’étend sur plus de mille pages, que vingt réquisitions de pièces ont été adressées par le Ministère public à des établissements bancaires et à des tiers et que le dossier serait encore susceptible de se complexifier puisque la situation financière réelle d’E.V.________ serait particulièrement difficile à établir, celui-ci étant en outre ayant droit économique de deux sociétés et les extraits bancaires versés au dossier laissant à penser qu’une apparente confusion des patrimoines de l’intimé et de ses sociétés aurait cours. E.V.________ multiplierait en outre les fausses pistes. Par ailleurs, la recourante argue que l’infraction d’escroquerie est technique et qu’elle ne disposerait d’aucune connaissance juridique, de sorte qu’elle ne pourrait mener seule une procédure pénale d’une telle complexité, compte tenu également des difficultés conjugales éprouvantes dans lesquelles elle est enlisée. Enfin, la recourante invoque le principe d’égalité des armes puisqu’E.V.________ est assisté d’un, voire de deux avocats de choix.</w:t>
      </w:r>
    </w:p>
    <w:p>
      <w:r>
        <w:rPr>
          <w:b/>
        </w:rPr>
        <w:t>E. 2.2</w:t>
      </w:r>
    </w:p>
    <w:p>
      <w:r>
        <w:t>Selon l’art. 130 CPP, le prévenu doit avoir un défenseur lorsque la détention provisoire, y compris la durée de l’arrestation provisoire, a excédé dix jours (let. a), s’il encourt une peine privative de liberté de plus d’un an, une mesure entraînant une privation de liberté ou une expulsion (let. b), si, en raison de son état physique ou psychique ou pour d’autres motifs, il ne peut pas suffisamment défendre ses intérêts dans la procédure et ses représentants légaux ne sont pas en mesure de le faire (let. c), si le Ministère public intervient personnellement devant le tribunal de première instance ou la juridiction d’appel (let. d), ou si une procédure simplifiée (art. 358 à 362 CPP) est mise en œuvre (let. e). 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(comme l'indique l'adverbe « notamment »), en particulier dans les cas où cette mesure est nécessaire pour garantir l'égalité des armes ou parce que l'issue de la procédure pénale a une importance particulière pour le prévenu, par exemple s'il encourt une révocation de l'autorisation d'exercer sa profession ou s'il risque de perdre la garde de ses enfants (TF 1B_510/2022 du 16 décembre 2022 consid. 3.1 ; TF 1B_370/2022 du 1 er décembre 2022 consid. 2.1.2). Les critères énoncés par l'art. 132 al. 1 let. b, 2 et 3 CPP reprennent largement la jurisprudence du Tribunal fédéral en matière d'assistance judiciaire, rendue sur la base des art. 29 al. 3 Cst. (Constitution fédérale de la Confédération suisse du 18 avril 1999 ; RS 101) et 6 ch. 3 let. c CEDH (Convention de sauvegarde des droits de l'homme et des libertés fondamentales du 4 novembre 1950 ; RS 0.101) (ATF 143 I 164 consid. 3.5 ; TF 1B_510/2022 précité consid. 3.1). Selon cette jurisprudence,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(ibidem).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1B_510/2022 précité consid. 3.2 ; TF 1B_370/2022 précité consid. 2.1.1). S'agissant de la difficulté objective de la cause, à l'instar de ce qu'elle a développé en rapport avec les chances de succès d'un recours (ATF 139 III 396 consid. 1.2 ; ATF 129 I 129 consid. 2.3.1 ; TF 1B_510/2022 précité consid. 3.2), la jurisprudence impose de se demander si une personne raisonnable et de bonne foi, qui présenterait les mêmes caractéristiques que le requérant mais disposerait de ressources suffisantes, ferait ou non appel à un avocat (ATF 140 V 521 consid. 9.1 ; TF 1B_510/2022 précité consid. 3.2). La difficulté objective d'une cause est admise sur le plan juridique lorsque la subsomption des faits donne lieu à des doutes, que ce soit de manière générale ou dans le cas particulier (TF 1B_510/2022 précité consid. 3.2 ; TF 1B_370/2022 précité consid. 2.1.1).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1B_510/2022 précité consid. 3.2 ; TF 1B_370/2022 précité consid. 2.1.1 ; CREP 12 mai 2023/377).</w:t>
      </w:r>
    </w:p>
    <w:p>
      <w:r>
        <w:rPr>
          <w:b/>
        </w:rPr>
        <w:t>E. 2.3</w:t>
      </w:r>
    </w:p>
    <w:p>
      <w:r>
        <w:t>; TF 6B_385/2009 du 7 août 2009 consid. 2.1 et la référence citée).</w:t>
      </w:r>
    </w:p>
    <w:p>
      <w:r>
        <w:rPr>
          <w:b/>
        </w:rPr>
        <w:t>E. 2.4</w:t>
      </w:r>
    </w:p>
    <w:p>
      <w:r>
        <w:t>Tel qu'il est garanti par l'art. 6 CEDH, le principe de l'égalité des armes requiert que chaque partie se voie offrir une possibilité raisonnable de présenter sa cause dans des conditions qui ne la placent pas dans une situation de net désavantage par rapport à son adversaire (cf. ATF 139 I 121 consid. 4.2.1 p. 124 ; ATF 137 V 210 consid. 2.1.2.1 p. 229). Il suppose un équilibre non seulement entre l'accusé et le Ministère public soutenant l'accusation, mais aussi entre l'accusé et la partie civile. Il est notamment violé si l'accusé s'est vu refuser le droit d'être assisté par un défenseur, alors que le lésé bénéficie de l'assistance d'un avocat et qu'il peut s'exprimer sur la question de la culpabilité (TF 1B_481/2019 du 27 novembre 2019 consid.</w:t>
      </w:r>
    </w:p>
    <w:p>
      <w:r>
        <w:rPr>
          <w:b/>
        </w:rPr>
        <w:t>E. 2.5.1</w:t>
      </w:r>
    </w:p>
    <w:p>
      <w:r>
        <w:t>En l’espèce, la recourante est tout d’abord prévenue d’escroquerie et de violation grave des règles de la circulation routière. S’agissant de cette dernière infraction, il ne fait pas de doute que la cause n’est compliquée ni en fait, ni en droit. Il n’en va en revanche pas de même de l’infraction d’escroquerie qui lui est reprochée, qui plus est d’escroquerie au procès, dont la technicité est évidente, sous l’angle du caractère astucieux notamment. Elle est en outre liée à la procédure civile pendante entre les parties, qui est elle-même complexe, ne serait-ce que sous l’angle de leur situation financière respective. Par ailleurs, si la recourante devait être reconnue coupable de ces deux infractions, il n’est pas d’emblée exclu qu’elle soit condamnée à une peine plus élevée que le seuil de 4 mois de peine privative de liberté, respectivement de 120 jours-amende prévu à l’art. 132 al. 3 CPP. Enfin, il est à noter qu’E.V.________ est assisté d’un, voire de deux avocats qui plaideront vraisemblablement à charge contre la prévenue, de sorte que lui refuser un défenseur d’office constituerait une violation du principe de l’égalité des armes. Pour cette raison déjà, le recours doit être admis.</w:t>
      </w:r>
    </w:p>
    <w:p>
      <w:r>
        <w:rPr>
          <w:b/>
        </w:rPr>
        <w:t>E. 2.5.2</w:t>
      </w:r>
    </w:p>
    <w:p>
      <w:r>
        <w:t>La recourante est également plaignante. Sur ce point, ni l’infraction de violation d’une obligation d’entretien, ni celle d’escroquerie au procès n'est simple. S'agissant de la première, il s'agira en substance de déterminer ce qu’E.V.________ pouvait, respectivement aurait pu payer (cf. not. TF 6B_1010/2023 du 21 décembre 2023 consid. 2.2). Or, la situation financière du précité est manifestement compliquée à établir. Quant à la démonstration du caractère astucieux, constitutif de l'escroquerie, elle n'est pas plus aisée. En outre, la recourante ne dispose d’aucune connaissance juridique particulière et est déjà enlisée dans un conflit civil particulièrement exacerbé. Ces deux procédures sont liées voire intriquées et, on l’a vu, la partie adverse dispose quant à elle d’un avocat pour se défendre. Par ailleurs, le résultat de la procédure pénale est susceptible d’influer sur la procédure civile de façon non négligeable et, partant, sur l’avenir de la recourante, puisqu’elle a trait aux contributions d’entretien qui pourraient lui être versées. Il faut donc retenir que, compte tenu du contexte particulier précité, la recourante a bien la nécessité d’être assistée d’un avocat en qualité de plaignante également. Puisque l’indigence de la recourante n’est pas contestée, il reste à examiner les chances de succès de ses éventuelles prétentions civiles (art. 136 al. 1 let. a CPP). S’agissant de sa plainte pour violation d’une obligation d’entretien, on relèvera qu’E.V.________ ne conteste pas n'avoir pas payé les contributions d'entretien en cause, lesquelles ont été fixées par ordonnance de mesures protectrices de l'union conjugale, et qu’il appartiendra au juge pénal de déterminer si le précité avait les moyens de s'en acquitter ou aurait pu les avoir. La recourante soutient avoir également des prétentions en lien avec l'escroquerie dont elle aurait été victime. Elle évoque la vente à vil prix de la villa conjugale dont elle n’a plus pu s’acquitter des intérêts hypothécaires en raison du fait qu’elle ne percevait aucune contribution d’entretien de la part d’E.V.________ . En l’état, on ne saurait considérer que ses prétentions sur ces points sont vouées à l’échec.</w:t>
      </w:r>
    </w:p>
    <w:p>
      <w:r>
        <w:rPr>
          <w:b/>
        </w:rPr>
        <w:t>E. 2.5.3</w:t>
      </w:r>
    </w:p>
    <w:p>
      <w:r>
        <w:t>Partant, même si les parties semblent vouloir porter leur conflit civil sur le plan pénal et ainsi utiliser les moyens à disposition du juge pénal pour faire la lumière sur leur situation financière respective, il n’en demeure pas moins que compte tenu du contexte particulier du dossier, des deux classeurs fédéraux qu’il comporte, de l’intrication des éléments civils et pénaux et du principe de l’égalité des armes, il sied de considérer que la recourante – dont on rappelle que l’indigence a été reconnue, respectivement est incontestée – a besoin de l’assistance d’un mandataire professionnel pour défendre ses intérêts dans la procédure pénale. C’est donc à tort que le Ministère public a estimé que le concours d’un défenseur d’office, respectivement d’un conseil juridique, n’était pas nécessaire. Compte tenu de ce qui précède, il n’y a pas lieu d’examiner les arguments tirés des nouvelles plaintes que la recourante a déposées simultanément à son recours, qui ne font du reste pas l’objet de la décision attaquée. 3. 3.1 En définitive, le recours doit être admis et l'ordonnance attaquée réformée en ce sens que Me Mathias Micsiz est désigné en qualité de défenseur d’office et de conseil juridique gratuit de D.V.________. La désignation prendra effet au jour du dépôt de la demande, soit au 3 juillet 2023 (cf. CREP 14 novembre 2022/798 consid. 3 ; CREP 11 octobre 2022/752 consid. 4 ; CREP 9 février 2021/120 consid. 3). Le chiffre II de l’ordonnance, relatif aux frais, sera confirmé. 3.2 La recourante a demandé l’assistance judiciaire ainsi que la désignation de Me Mathias Micsiz en qualité de conseil d’office pour la procédure de recours. Compte tenu de l’indigence de la recourante, du fait que la cause n’était pas d’emblée dénuée de chance de succès et que l’assistance d’un avocat était nécessaire, sa requête d'assistance judiciaire sera admise et Me Mathias Micsiz lui sera désigné en qualité de conseil d’office. Me Mathias Micsiz a produit une liste d’opérations faisant état de 5 heures et 21 minutes consacrées à la rédaction du recours. Au vu de la nature de l’affaire, du mémoire de recours et des déterminations complémentaires déposées le 15 février 2024, il n’y a pas lieu de s’écarter de la durée alléguée de sorte que l’indemnité due à Me Mathias Micsiz pour la procédure de recours doit être fixée à 963 fr., correspondant à une activité nécessaire d’avocat de 5 heures et 21 minutes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19 fr. 25, plus la TVA au taux de 8,1 %, par 79 fr. 55, soit à 1'062 fr. au total en chiffres arrondis. Vu le sort du recours, les frais de la procédure, constitués en l’espèce de l’émolument d’arrêt, par 1’540 fr. (art. 20 al. 1 TFIP), et des frais imputables à l’assistance judiciaire gratuite (art. 422 al. 1 et 2 let. a CPP), par 1’062 fr., seront laissés à la charge de l’Etat (art. 423 al. 1 CPP). Par ces motifs, la Chambre des recours pénale prononce : I. Le recours est admis. II. L'ordonnance du 29 décembre 2023 est réformée au chiffre I de son dispositif comme il suit : « I. Accorde l'assistance judiciaire à D.V.________ et désigne Me Mathias Micsiz en qualité de défenseur d'office et de conseil juridique gratuit avec effet au 3 juillet 2023 ; ». L'ordonnance est confirmée pour le surplus. III. La requête d'assistance judiciaire est admise et Me Mathias Micsiz est désigné en qualité de conseil d’office de D.V.________ pour la procédure de recours. IV. L'indemnité due à Me Mathias Micsiz pour la procédure de recours est fixée à 1’062 fr. (mille soixante-deux francs). V. Les frais d'arrêt, par 1’540 fr. (mille cinq cent quarante francs), ainsi que l'indemnité due au conseil d’office de D.V.________, par 1’062 fr. (mille soixante-deux francs), sont laissés à la charge de l'Etat. VI. L’arrêt est exécutoire. Le président :               La greffière : Du Le présent arrêt, dont la rédaction a été approuvée à huis clos, est notifié, par l'envoi d'une copie complète, à : - Me Mathias Micsiz, avocat (pour D.V.________),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7</w:t>
      </w:r>
    </w:p>
    <w:p>
      <w:r>
        <w:t>juin 2023 consid. 2 et les références citées). Pour évaluer si l'affaire présente des difficultés que la partie plaignante ne pourrait pas surmonter sans l'aide d'un avocat, il y a lieu d'apprécier l'ensemble des circonstances concrètes. Il faut que le concours d’un avocat soit objectivement ou subjectivement nécessaire. Il faut tenir compte notamment des intérêts en jeu, de la complexité de la cause en fait et en droit, des circonstances personnelles du demandeur, de ses connaissances linguistiques, de son âge, de sa situation sociale et de son état de santé (ATF 123 I 145 précité consid. 2b/cc ; TF 1B_272/2023 précité consid. 2 ; TF 1B_18/2023 du 17 février 2023 consid. 3). La nécessité peut découler également des conséquences que l’issue de la procédure pourrait avoir pour le justiciable ; plus les conséquences possibles de la procédure apparaissent lourdes pour le requérant, plus l’assistance d’un avocat apparaît justifiée. Il n’existe pas de règle unique (Harari/Corminboeuf Harari, in : CR CPP, op. cit., nn. 62, 62a et 63 ad art. 136 CPP). Lors de la procédure de recours, l’assistance judiciaire gratuite doit faire l’objet d’une nouvelle demande (art. 136 al. 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