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873 vom 16. August 2023</w:t>
      </w:r>
    </w:p>
    <w:p>
      <w:r>
        <w:t>VD Tribunal cantonal, 2023-08-16, FR</w:t>
      </w:r>
    </w:p>
    <w:p>
      <w:r>
        <w:rPr>
          <w:b/>
        </w:rPr>
        <w:t xml:space="preserve">Quelle: </w:t>
      </w:r>
      <w:r>
        <w:t>https://mcp.opencaselaw.ch/entscheid/vd_findinfo_D_cision___2023___873</w:t>
      </w:r>
    </w:p>
    <w:p>
      <w:r>
        <w:t>FR: VD_FINDINFO Décision / 2023 / 873 du 16 août 2023</w:t>
      </w:r>
    </w:p>
    <w:p>
      <w:r>
        <w:t>IT: VD_FINDINFO Décision / 2023 / 873 del 16 agosto 2023</w:t>
      </w:r>
    </w:p>
    <w:p>
      <w:pPr>
        <w:pStyle w:val="Heading2"/>
      </w:pPr>
      <w:r>
        <w:t>Regeste</w:t>
      </w:r>
    </w:p>
    <w:p>
      <w:r>
        <w:t>MODÉRATION, HONORAIRES | 12 let. i LLCA, 45 al. 1 LPAv</w:t>
      </w:r>
    </w:p>
    <w:p>
      <w:pPr>
        <w:pStyle w:val="Heading2"/>
      </w:pPr>
      <w:r>
        <w:t>Erwägungen</w:t>
      </w:r>
    </w:p>
    <w:p>
      <w:r>
        <w:rPr>
          <w:b/>
        </w:rPr>
        <w:t>E. 1</w:t>
      </w:r>
    </w:p>
    <w:p>
      <w:r>
        <w:t>LPAv, en cas de contestation relative à la note d’honoraires et de débours, l’avocat ou son client peuvent la soumettre à modération. L’autorité de modération est, lorsqu’une procédure a été ouverte, le juge ou le procureur dont relève le litige et, lorsqu’aucune procédure n’a été ouverte ou lorsqu’elle l’a été devant une autorité judiciaire fédérale, le président de la Chambre des avocats (art. 50 LPAv).</w:t>
      </w:r>
    </w:p>
    <w:p>
      <w:r>
        <w:rPr>
          <w:b/>
        </w:rPr>
        <w:t>E. 1.1</w:t>
      </w:r>
    </w:p>
    <w:p>
      <w:r>
        <w:t>L'exercice de la profession d'avocat est régie par la LLCA (loi fédérale du 23 juin 2000 sur la libre circulation des avocats ; RS 935.61), qui est mise en œuvre, dans le canton de Vaud, par la loi sur la profession d’avocat du 9 juin 2015 (LPAv ; BLV 177.11). Selon l'art. 49 al.</w:t>
      </w:r>
    </w:p>
    <w:p>
      <w:r>
        <w:rPr>
          <w:b/>
        </w:rPr>
        <w:t>E. 1.2</w:t>
      </w:r>
    </w:p>
    <w:p>
      <w:r>
        <w:t>En l’espèce, une procédure a été ouverte dans le cadre du mandat ayant donné lieu à la note d’honoraires litigieuse, laquelle s’est terminée, au niveau cantonal, devant la Cour d’appel pénale. Par conséquent, la Présidente de la Cour de céans est compétente pour statuer sur la demande de modération.</w:t>
      </w:r>
    </w:p>
    <w:p>
      <w:r>
        <w:rPr>
          <w:b/>
        </w:rPr>
        <w:t>E. 2</w:t>
      </w:r>
    </w:p>
    <w:p>
      <w:r>
        <w:t>; Bohnet/Martenet, op. cit., n. 2970); il convient bien plutôt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(JdT 1990 III 66 consid. 2a). Le juge se base en règle générale sur un tarif horaire, hors TVA. Le tarif horaire est destiné à couvrir les frais généraux et à assurer au mandataire un revenu (cf. ATF 137 III 185 consid. 5.1, relatif au tarif horaire en matière d’assistance judiciaire). Dans le canton de Vaud, la jurisprudence retient un tarif horaire usuel de 350 fr. (CCIV 5/2013 du 16 janvier 2013 ; CCIV 147/2011 du 27 juillet 2012 ; CREC 13 mars 2012/98). En ce qui concerne les avocats-stagiaires, la pratique retient un tarif horaire de 180 francs. Il faut ensuite examiner si les critères énumérés à l’art. 45 al. 1 LPAv justifient d'augmenter ce tarif et, le cas échéant, dans quelle mesure. Cette disposition retient notamment les difficultés et les délais d'exécution de celui-ci, l'importance des intérêts en cause, le résultat obtenu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De même, une affaire particulièrement urgente justifie une augmentation du tarif horaire (Bohnet, La fixation et le recouvrement des honoraires de l’avocat in: Quelques actions en paiement, Neuchâtel 2009, nn. 19 et 21 pp. 12 s.).</w:t>
      </w:r>
    </w:p>
    <w:p>
      <w:r>
        <w:rPr>
          <w:b/>
        </w:rPr>
        <w:t>E. 2.1.1</w:t>
      </w:r>
    </w:p>
    <w:p>
      <w:r>
        <w:t>Les honoraires dus à un mandataire sont fixés en première ligne d’après la convention des parties (art. 394 al. 3 CO ; TF 4A_2/2013 du 12 juin 2013 consid. 3.1.1; ATF 135 III 259 consid. 2.2, SJ 2009 I p. 441; ATF 101 II 109 consid. 2, JdT 1976 I 333). La LLCA, qui ne comporte aucune règle sur la fixation des honoraires – sauf l'interdiction du pactum de quota litis (art. 12 let. e LLCA) –, n'a pas remis en question la compétence des cantons de réglementer la rémunération de l'avocat pour son activité judiciaire (TF 4A_2/2013 du 12 juin 2013 consid. 3.1.1; ATF 135 III 259 précité consid. 2.2 et 2.4; Bohnet/Martenet, Droit de la profession d'avocat, Berne 2009, n. 2941). Certains cantons ont promulgué des tarifs officiels ; d'autres, à l'instar du canton de Vaud, ne sont pas allés aussi loin et se sont contentés d'adopter une norme de droit public qui détermine les critères en fonction desquels l'admissibilité des honoraires doit être appréciée (Bohnet/Martenet, op. cit., n. 2948). En vertu de l'art. 45 al. 1 LPAv,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du 16 mars 2021/77 consid. 3.2.2 ; CREC II du 16 juin 2010/84 consid. 3b/aa; CREC II du 8 octobre 2009/198 consid. 4). Les manières d'agir diffèrent selon le caractère et le comportement de chaque avocat ; il y a des avocats plus ou moins chers, plus ou moins expéditifs ou rationnels. Le client choisit librement son mandataire (art. 4 al. 1 aLPAv) et en supporte les conséquences.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(JdT 2006 III 38 consid. 2b; JdT 2003 III 67 consid. 1; CREC II du 18 février 2010/38 consid. 3). Il incombe en premier lieu à l'avocat de fixer le montant de ses honoraires selon son appréciation, sans être lié à un tarif ;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consid. 3). Pour le reste, le Tribunal fédéral reconnaît aux autorités cantonales de modération un très large pouvoir d'appréciation (ATF 135 III 259 précité consid. 2.5; TF 4P.342/2006 du 5 mars 2007 consid. 4.1.2). En l'absence d'accord particulier sur le montant ou le mode de calcul de la rémunération, le juge modérateur doit s'en tenir aux règles usuelles (CREC II du 18 février 2010/38 consid. 4; CREC II du 16 juin 2010/84 consid. 3b/bb). Les honoraires ne doivent pas être calculés en fonction de la valeur des intérêts en cause ou de l'objet du litige (pourcentage), même si ces critères doivent être pris en considération (ATF 101 II 109 précité consid.</w:t>
      </w:r>
    </w:p>
    <w:p>
      <w:r>
        <w:rPr>
          <w:b/>
        </w:rPr>
        <w:t>E. 2.1.2</w:t>
      </w:r>
    </w:p>
    <w:p>
      <w:r>
        <w:t>L'art. 12 let. i LLCA érige en règle professionnelle le devoir pour l'avocat, lorsqu'il accepte un mandat, d'informer son client des modalités de facturation et de le renseigner périodiquement ou à sa demande sur le montant des honoraires dus. Le caractère périodique des informations devant être fournies au client varie également de cas en cas, selon que l’avocat établisse ou non des situations régulières d’honoraires, sollicite des provisions au fur et à mesure de son activité ou convienne avec son client que la facturation interviendra au terme du mandat, le client ayant dans l’intervalle la faculté de se renseigner sur l’évolution des honoraires. Le devoir d’information périodique est laissé à l’initiative du client, sauf nécessité liée à son intérêt, par exemple l’hypothèse d’une augmentation importante et imprévue des dépenses (Valticos, Commentaire romand de la loi sur les avocats, Bâle 2022, 2 e éd., p. 199 n° 282 et les réf. citées). Dans un arrêt récent (TF 2C_1000/2020 du 2 juin 2021 consid. 5 et 6), le Tribunal fédéral a précisé qu’il appartenait à l’avocat de renseigner régulièrement le client, indépendamment de ses éventuelles sollicitations, l’avocat n’ayant en l’espèce pas établi de facture depuis près de dix-huit mois et celle-ci s’élevant à plus de 20'000 fr., soit au double du montant des provisions versées précédemment, de 9'500 francs. Sous réserve d’un mandat particulièrement usuel ou fréquent dont l’activité requise peut être évaluée avec une précision suffisante, il ne saurait être exigé de l’avocat qu’il puisse valablement fournir à l’avance une estimation du montant final de ses honoraires. Dans la mesure du possible, il lui appartient cependant de communiquer un ordre de grandeur raisonnable (Valticos, op. cit., 2 e éd., p. 198 n° 275). En ce qui concerne les provisions, qui constituent une forme d’information du client, le message du Conseil fédéral relatif à l’introduction de la LLCA a relevé que celle-ci renonçait à imposer aux cantons une réglementation uniforme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 Lorsque l'avocat n'exige pas une provision suffisante pour se couvrir ou, à défaut, n'indique pas à son client le montant approximatif des frais encourus pour les opérations qu'il entreprend, il commet une faute justifiant une réduction des honoraires normalement dus, dans la mesure où le client est ignorant des lois et incapable de se représenter lui-même la valeur du travail intellectuel du mandataire. Cette règle ne vaut pas pour un client rompu aux affaires (CREC 4 janvier 2021/1 consid. 4.2 ; CREC 5 mars 2015/101 consid. 5 ; Valticos, op. cit., p. 200 n° 290 ). Si le mandat a une durée relativement brève, la faute commise par l’avocat qui a omis de requérir une provision suffisante est moindre que si l’avocat poursuit dans les mêmes conditions ses activités sur une longue période (CDAP GE.2016.0175 du 1 er mars 2017 consid. 4a). Une réduction d’un tiers a été admise s’agissant d’honoraires facturés par un avocat qui s’était provisionné seulement à hauteur de 3'000 fr. alors que sa note d’honoraires totalisait quelque 15'000 fr. (CREC II du 29 novembre 2010/243 consid. 5c). De nombreux facteurs sont pris en considération pour arrêter le principe d’une réduction et en fixer le taux, comme la durée du mandat, le degré d’urgence, le tarif horaire pratiqué, la capacité du client de se représenter la valeur du travail fourni par son avocat, les autres informations données ou tues au client sur le coût envisagé, la proportion entre le montant des honoraires et celui des provisions ainsi que celui de l’enjeu patrimonial du litige et les réductions d’honoraires consenties par l’avocat (Céline Courbat, Profession d’avocat, Principes et jurisprudence de la Chambre des avocats du canton de Vaud, JdT 2018 180 sp. pp. 233 à 236).</w:t>
      </w:r>
    </w:p>
    <w:p>
      <w:r>
        <w:rPr>
          <w:b/>
        </w:rPr>
        <w:t>E. 2.1.3</w:t>
      </w:r>
    </w:p>
    <w:p>
      <w:r>
        <w:t>Le juge modérateur n'a pas à se prononcer sur les questions de fond, notamment relatives à la manière dont l'avocat a exécuté son mandat (CREC 13 janvier 2021/12 consid. 3.2 ; CREC 3 mars 2020/61 consid. 5.2.2 et les références citées). En effet, l'examen d'une éventuelle violation des obligations découlant du mandat de l'avocat relève en principe du seul juge civil ordinaire, le juge modérateur devant se borner à taxer les opérations portées en compte au regard des prestations effectivement fournies par l'avocat (TF 4A_2/2013 du 12 juin 2013 consid. 1.1 et les références citées).</w:t>
      </w:r>
    </w:p>
    <w:p>
      <w:r>
        <w:rPr>
          <w:b/>
        </w:rPr>
        <w:t>E. 2.2.1</w:t>
      </w:r>
    </w:p>
    <w:p>
      <w:r>
        <w:t>En l’espèce, il convient d’emblée d’écarter les griefs de l'intimé tendant à démontrer que l’avocate aurait mal défendu ses intérêts, la question d’une éventuelle responsabilité contractuelle étant du ressort du juge civil (cf. consid. 2.1.3 ci-dessus). Partant, le moyen soulevé à cet égard n’est pas recevable. Les griefs de Z.______ qui concernent les notes d’honoraires envoyées précédemment à celle du 14 octobre 2021 sont également irrecevables, dans la mesure où la requête de modération d’honoraires déposée par Me F.______ porte uniquement sur sa note d’honoraires intermédiaire du 14 octobre 2021 concernant l’activité qu’elle a déployée du 4 janvier au 10 septembre 2021. Les précédentes notes d’honoraires ont été réglées par Z.______, qui ne les a jamais contestées, du moins pas avant la présente procédure, ni ne les a soumises à modération.</w:t>
      </w:r>
    </w:p>
    <w:p>
      <w:r>
        <w:rPr>
          <w:b/>
        </w:rPr>
        <w:t>E. 2.2.2</w:t>
      </w:r>
    </w:p>
    <w:p>
      <w:r>
        <w:t>La note d’honoraires intermédiaire du 14 octobre 2021, qui contient une liste d’opérations détaillée, fait état d’une activité effectuée entre le 4 janvier et le 10 septembre 2021 d’une durée totale de 25 heures et 45 minutes pour Me F.______ et de 55 minutes pour l’avocat-stagiaire, relative aux opérations entreprises dans le cadre de l’appel déposé par Z.______ contre le jugement de première instance. Sous réserve de ce qui figure ci-dessous, au vu de la nature du mandat et des pièces produites, cette durée n’apparaît pas exagérée. Z.______ ne conteste du reste aucune des opérations facturées dans dite note d’honoraires. Il est en particulier relevé que le temps consacré à la rédaction de l’appel, qui constitue le poste le plus conséquent, soit 10 heures et 20 minutes, paraît adéquat, au vu du mémoire déposé, qui contient 24 pages, dont quatre pages de précisions par rapport aux faits retenus en première instance et, en droit, des développements sur 16 pages concernant la question de la violation de l’art. 146 al. 1 CP, la question de la violation du principe in dubio pro reo et l’octroi contesté des conclusions civiles à la partie adverse. Le temps consacré aux entretiens avec le client (téléphoniques ou en présentiel), à la prise de connaissance des courriels et pièces envoyées par celui-ci et des courriers et écritures de la partie adverse et du tribunal, et à la préparation de l’audience d’appel apparaît également adéquat. En revanche, l’avocate a facturé 240 minutes pour l’audience d’appel et la vacation aller-retour, ce qui est excessif, au vu de la durée effective de l’audience, soit 95 minutes. La vacation aller-retour à l’audience d’appel n’a en effet pas duré deux heures et 25 minutes, l’avocate étant installée à Lausanne, de sorte qu’une heure pour la vacation aller-retour apparaît suffisante. Une heure et 25 minutes doivent ainsi être retranchées à ce titre. Ne se justifie au demeurant pas la facturation relative à la transmission de courriers au client et à la partie adverse, libellés sous « mémos », pour une durée totale de 50 minutes, cette activité correspondant à des tâches de secrétariat et non à un travail d’avocat qui justifierait une rémunération au tarif horaire de 350 francs. Enfin, figure une opération libellée « courrier à la SUVA », le 22 mars 2021, pour une durée de 15 minutes, qui ne correspond pas à l’activité déployée par l’avocate dans le cadre du dépôt de l’appel. Il s’ensuit que sur les 25 heures et 45 minutes facturées par l’avocate, 2 heures et 30 minutes doivent être retranchées.</w:t>
      </w:r>
    </w:p>
    <w:p>
      <w:r>
        <w:rPr>
          <w:b/>
        </w:rPr>
        <w:t>E. 2.2.3</w:t>
      </w:r>
    </w:p>
    <w:p>
      <w:r>
        <w:t>Le tarif horaire appliqué, soit 350 fr. pour une avocate brevetée, qui se trouve dans la fourchette du tarif horaire moyen de l’avocat vaudois, peut être confirmé. En revanche, le tarif-horaire appliqué à l’avocat-stagiaire, soit 250 fr., se situe au-dessus du tarif-horaire de 180 fr. retenu par la pratique. L’avocate n’expose pas ce qui justifie l’application d’un tarif horaire de 250 fr. pour le travail effectué par l’avocat-stagiaire et on ignore en outre quelles tâches ont été confiées à celui-ci, à la lecture de la note d’honoraires, qui ne donne aucun détail à cet égard. Dès lors, un tarif horaire de 180 fr. sera retenu pour le travail effectué par l’avocat-stagiaire.</w:t>
      </w:r>
    </w:p>
    <w:p>
      <w:r>
        <w:rPr>
          <w:b/>
        </w:rPr>
        <w:t>E. 2.2.4</w:t>
      </w:r>
    </w:p>
    <w:p>
      <w:r>
        <w:t>Concernant la question de l’information donnée au mandant sur le coût du travail, Me F.______ a régulièrement envoyé des demandes de provisions et des notes d’honoraires intermédiaires à son mandant jusqu’au 18 décembre 2020. Le prénommé a versé une dernière provision de 5'385 francs le 20 novembre 2020 (P. 119/2 n°9). Il a également réglé une note d’honoraires intermédiaire du 18 décembre 2020 correspondant à la somme de 1'909 fr. 85 (P. 119/2). Dite note d’honoraires précisait qu’elle concernait l’activité déployée du 5 septembre 2019 au 18 décembre 2020, correspondant à 13'525 fr. 85, auxquels étaient soustraites les provisions versées (3'000 fr. + 3'231 fr. + 5'385 francs). Le 18 décembre 2020, Me F.______ a adressé une nouvelle demande de provision de 5'385 fr. à Z.______ (P. 119/2 n°10). Il n’a pas versé dite provision. Malgré cela, l’avocate a rédigé un mémoire d’appel contre le jugement de première instance qu’elle a reçu le 4 janvier 2021. Elle a par la suite également préparé l’audience d’appel et a assisté son mandant à celle-ci. Il est compréhensible que l’avocate n’ait pas attendu d’obtenir le versement de la provision pour rédiger le mémoire d’appel au mois de janvier 2021, compte tenu du délai non prolongeable dans lequel l’écriture devait être déposée. Elle a ainsi préservé les intérêts de son mandant. Elle aurait en revanche dû, par la suite, relancer Z.______ afin d’obtenir le versement de la provision demandée le 18 décembre 2020. En effet, l’audience d’appel a eu lieu le 18 mai 2021 et l’avocate disposait du temps nécessaire pour obtenir d’être provisionnée dans l’intervalle. L’avocate aurait ainsi pu s’inquiéter de ne plus être couverte pour le travail qu’elle effectuait. Cela étant, au vu de la note d’honoraires intermédiaire envoyée par l’avocate à Z.______ du 18 décembre 2020, qui précisait qu’elle concernait l’activité déployée du 5 septembre 2019 au 18 décembre 2020, sous déduction des provisions versées jusque-là, et de la nouvelle demande de provision du 18 décembre 2020, il doit être retenu que Z.______ était suffisamment informé quant aux coûts de l’activité qui allait encore être déployée par l’avocate pour la procédure d’appel, cela d’autant plus qu’il connaissait le tarif horaire appliqué par celle-ci et sa manière de travailler, au vu de la durée de la relation de mandat. Aucune réduction des honoraires ne se justifie par conséquent à ce titre. On peut relever qu’on ne saurait reprocher à l’avocate d’avoir, au départ du mandat, sous-estimé l’ampleur du travail nécessaire.</w:t>
      </w:r>
    </w:p>
    <w:p>
      <w:r>
        <w:rPr>
          <w:b/>
        </w:rPr>
        <w:t>E. 3</w:t>
      </w:r>
    </w:p>
    <w:p>
      <w:r>
        <w:t>En définitive, la note d’honoraires du 14 octobre 2021, correspondant aux opérations effectuées par Me F.______ en faveur de Z.______ pour la période allant du 4 janvier au 10 septembre 2021, doit être modérée à hauteur de 8'962 fr. 65, ce qui correspond à des honoraires de 8'137 fr. 50 pour l’activité déployée par Me F.______ (23 heures et 15 minutes au tarif horaire de 350 fr.) plus 19 fr. 35 correspondant aux débours facturés, ainsi qu’à des honoraires de 165 fr. pour le travail effectué par l’avocat stagiaire (55 minutes au tarif horaire de 180 fr.), plus la TVA à 7,7 % par 640 fr. 80.</w:t>
      </w:r>
    </w:p>
    <w:p>
      <w:r>
        <w:rPr>
          <w:b/>
        </w:rPr>
        <w:t>E. 4</w:t>
      </w:r>
    </w:p>
    <w:p>
      <w:r>
        <w:t>Le coupon de modération par 299 fr. sera, vu le sort de la cause, mis par un quart à la charge de la requérante et par trois quarts à la charge de l’intimé. Ce dernier remboursera donc 224 fr. 25 à la requérante qui en a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