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87 vom 2. Februar 2023</w:t>
      </w:r>
    </w:p>
    <w:p>
      <w:r>
        <w:t>VD Tribunal cantonal, 2023-02-02, FR</w:t>
      </w:r>
    </w:p>
    <w:p>
      <w:r>
        <w:rPr>
          <w:b/>
        </w:rPr>
        <w:t xml:space="preserve">Quelle: </w:t>
      </w:r>
      <w:r>
        <w:t>https://mcp.opencaselaw.ch/entscheid/vd_findinfo_D_cision___2023___87</w:t>
      </w:r>
    </w:p>
    <w:p>
      <w:r>
        <w:t>FR: VD_FINDINFO Décision / 2023 / 87 du 2 février 2023</w:t>
      </w:r>
    </w:p>
    <w:p>
      <w:r>
        <w:t>IT: VD_FINDINFO Décision / 2023 / 87 del 2 febbraio 2023</w:t>
      </w:r>
    </w:p>
    <w:p>
      <w:pPr>
        <w:pStyle w:val="Heading2"/>
      </w:pPr>
      <w:r>
        <w:t>Regeste</w:t>
      </w:r>
    </w:p>
    <w:p>
      <w:r>
        <w:t>DÉFENSE D'OFFICE | 132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est susceptible de recours selon les art. 393 ss CPP (Harari/Corminboeuf Harari, in : Jeanneret et al. [éd.], Commentaire romand, Code de procédure pénale suisse, 2 e éd., Bâle 2019 [ci-après : CR CPP], n. 11 ad art. 132 CPP).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BLV 312.01]; art. 80 LOJV [loi d’organisation judiciaire; BLV 173.01]).</w:t>
      </w:r>
    </w:p>
    <w:p>
      <w:r>
        <w:rPr>
          <w:b/>
        </w:rPr>
        <w:t>E. 1.2</w:t>
      </w:r>
    </w:p>
    <w:p>
      <w:r>
        <w:t>Interjeté en temps utile devant l’autorité compétente, par une partie qui a qualité pour recourir (art. 382 al. 1 CPP) et dans les formes prescrites (art. 385 al. 1 CPP), le recours est recevable.</w:t>
      </w:r>
    </w:p>
    <w:p>
      <w:r>
        <w:rPr>
          <w:b/>
        </w:rPr>
        <w:t>E. 2</w:t>
      </w:r>
    </w:p>
    <w:p>
      <w:r>
        <w:t>Le recourant soutient qu’une instruction est ouverte contre lui pour avoir fait usage d’un faux document d’identification en vue d’obtenir une prestation, que les faits tels qu’ils ressortent de l’instruction permettent difficilement d’apprécier la difficulté de la cause dès lors que l’autorité d’instruction utilise sciemment une formulation générale et abstraite et que la consultation du dossier lui aurait été refusée au motif qu’il n’a pas encore fait l’objet d’une première audition. Le recourant expose encore que la cause ne peut pas être considérée comme étant de peu de gravité au sens de l’art. 132 al. 3 CPP compte tenu des infractions en cause, qui constituent des délits et pour l’une un crime, qui sont susceptibles d’entrer en concours et pour lesquelles des principes jurisprudentiels complexes devront être examinés. Il réitère qu’il ne dispose d’aucune connaissance juridique, ne maîtrise pas le français et que la cause est susceptible d’avoir une influence sur son statut de séjour, de sorte que le recours à un avocat lui paraît nécessaire.</w:t>
      </w:r>
    </w:p>
    <w:p>
      <w:r>
        <w:rPr>
          <w:b/>
        </w:rPr>
        <w:t>E. 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la direction de la procédure ordonne une défense d’office si le prévenu ne dispose pas des moyens nécessaires et que l’assistance d’un défenseur est justifiée pour sauvegarder ses intérêts (art. 132 al. 1 let. b). Ces deux conditions sont cumulatives (Harari/Jakob/ Santamaria, in : Jeanneret et al. [éd.], Commentaire romand, Code de procédure pénale suisse, 2 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TF 6B_363/2022 du 26 septembre 2022 consid. 3.1 ; TF 1B_475/2020 du 19 novembre 2020 consid. 2.1). Si les deux conditions mentionnées à l'art. 132 al. 2 CPP doivent être réunies cumulativement, il n'est pas exclu que l'intervention d'un défenseur soit justifiée par d'autres motifs (comme l'indique l'adverbe « notamment » ; cf. TF 6B_363/2022 précité ; TF 1B_591/2021 du 12 janvier 2022 consid. 2.1 ; TF 1B_194/2021 du 21 juin 2021 consid. 3.1),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6B_363/2022 précité ; TF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6B_363/2022 précité ; TF 1B_172/2022 du 18 juillet 2022 consid. 2.1 ; TF 1B_591/2021 précité).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6B_363/2022 précité ; TF 1B_229/2021 du 9 septembre 2021 consid. 4.1 ; TF 1B_194/2021 précité et les arrêts cités).</w:t>
      </w:r>
    </w:p>
    <w:p>
      <w:r>
        <w:rPr>
          <w:b/>
        </w:rPr>
        <w:t>E. 2.2</w:t>
      </w:r>
    </w:p>
    <w:p>
      <w:r>
        <w:t>En l’espèce, avec le procureur, il y a lieu de constater que la cause ne présente aucune difficulté sur le plan des faits ou du droit. Le recourant est soupçonné d’avoir fait usage d’un faux document d’identité, et de s’en être prévalu pour obtenir une autorisation de séjour. Dans ce contexte, les seules questions qui se posent sont de savoir si le passeport en question est effectivement un faux – ce que les investigations policières permettront d’établir d’office – et si l’intéressé en avait conscience et s’en est prévalu auprès de l’autorité à dessein. Il suffira donc à l’intéressé de répondre aux questions de la police à cet égard lorsqu’il sera entendu et, si le passeport est effectivement un faux, on ne voit pas que la qualification juridique des infractions susceptibles d’être retenues soit complexe. L’affaire ne présente donc pas de complexité particulière, de surcroît à ce stade, puisque le recourant fait uniquement l’objet de soupçons émanant du Service de la population, qui a requis de la police qu’il soit entendu formellement et que la validité de son document d’identité soit vérifiée, mais qu’aucune instruction pénale au sens de l’art. 309 CPP n’a encore été ouverte par le Ministère public. A supposer même qu’une enquête soit ouverte et que l’intéressé soit condamné, il n’apparait pas qu’une peine au-delà du seuil prévu à l’art. 132 al.</w:t>
      </w:r>
    </w:p>
    <w:p>
      <w:r>
        <w:rPr>
          <w:b/>
        </w:rPr>
        <w:t>E. 3</w:t>
      </w:r>
    </w:p>
    <w:p>
      <w:r>
        <w:t>Au vu de ce qui précède, le recours, manifestement mal fondé, doit être rejeté sans échange d'écritures (art. 390 al. 2 CPP), et l’ordonnance du 29 décembre 2022 confirmée. Les frais d'arrêt, par 770 fr. (art. 20 al. 1 TFIP [tarif des frais de procédure et indemnités en matière pénale du 28 septembre 2010 ; BLV 312.03.1]), seront mis à la charge du recourant, qui succombe (art. 428 al. 1 CPP). Le recourant n’ayant pas sollicité la désignation de son avocat comme avocat d’office pour la procédure de recours, il n’y a pas lieu de statuer sur ce point. Par ces motifs, la Chambre des recours pénale prononce : I. Le recours est rejeté. II. L’ordonnance du 29 décembre 2022 est confirmée. III. Les frais d’arrêt, par 770 fr. (sept cent septante francs), sont mis à la charge de N.________. IV. L’arrêt est exécutoire. La présidente :               Le greffier : Du Le présent arrêt, dont la rédaction a été approuvée à huis clos, est notifié, par l'envoi d'une copie complète, à : - Me Frédéric Isler,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