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83 vom 7. Februar 2023</w:t>
      </w:r>
    </w:p>
    <w:p>
      <w:r>
        <w:t>VD Tribunal cantonal, 2023-02-07, FR</w:t>
      </w:r>
    </w:p>
    <w:p>
      <w:r>
        <w:rPr>
          <w:b/>
        </w:rPr>
        <w:t xml:space="preserve">Quelle: </w:t>
      </w:r>
      <w:r>
        <w:t>https://mcp.opencaselaw.ch/entscheid/vd_findinfo_D_cision___2023___83</w:t>
      </w:r>
    </w:p>
    <w:p>
      <w:r>
        <w:t>FR: VD_FINDINFO Décision / 2023 / 83 du 7 février 2023</w:t>
      </w:r>
    </w:p>
    <w:p>
      <w:r>
        <w:t>IT: VD_FINDINFO Décision / 2023 / 83 del 7 febbraio 2023</w:t>
      </w:r>
    </w:p>
    <w:p>
      <w:pPr>
        <w:pStyle w:val="Heading2"/>
      </w:pPr>
      <w:r>
        <w:t>Regeste</w:t>
      </w:r>
    </w:p>
    <w:p>
      <w:r>
        <w:t>RISQUE DE RÉCIDIVE, PROPORTIONNALITÉ, DÉTENTION PROVISOIRE, MOTIVATION DE LA DEMANDE, MESURE DE SUBSTITUTION À LA DÉTENTION, DÉCISION D'IRRECEVABILITÉ | 221 al. 1 let. c CPP (CH), 237 CPP (CH), 385 al. 1 CPP (CH), 385 al. 2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auprès de l’autorité compétente (art. 13 al. 1 LVCPP [Loi d’introduction du Code de procédure pénale suisse du 19 mai 2009 ; BLV 312.01] ; art. 80 al. 1 let. c LOJV [Loi d’organisation judiciaire du 12 décembre 1979 ; BLV 173.01]), le recours de X.________ est à cet égard recevable. Pour le surplus, la Chambre de céans renvoie aux arguments exposés ci-dessous (cf. consid. 2.2.2, 2.3.2 et 2.4 infra ).</w:t>
      </w:r>
    </w:p>
    <w:p>
      <w:r>
        <w:rPr>
          <w:b/>
        </w:rPr>
        <w:t>E. 2.1</w:t>
      </w:r>
    </w:p>
    <w:p>
      <w:r>
        <w:t>L'art. 385 al. 1 CPP énonce que si le CPP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1B_318/2021 du 25 janvier 2022 consid. 4.1 ; TF 6B_510/2020 du 15 septembre 2020 consid. 2.2 ; TF 1B_472/2019 du 29 octobre 2019 consid. 3.1).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qui concrétise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(cf. art. 89 al. 1 CPP) (TF 1B_318/2021 du 25 janvier 2022 consid. 4.1 ; TF 6B_129/2021 du 1 er juillet 2021 consid. 2.4 ; TF 6B_510/2020 du 15 septembre 2020 consid. 2.2). Conformément à l'art. 393 al. 2 CPP,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et applique ce dernier d'office (TF 1B_318/2021 du 25 janvier 2022 consid. 4.1 ; TF 6B_421/2017 du 3 octobre 2017 consid. 1.3 ; TF 6B_1251/2016 du 19 juillet 2017 consid. 3.3). Elle n'est par ailleurs pas liée par les motifs invoqués par les parties (cf. art. 391 al. 1 let. a CPP).</w:t>
      </w:r>
    </w:p>
    <w:p>
      <w:r>
        <w:rPr>
          <w:b/>
        </w:rPr>
        <w:t>E. 2.2.1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JdT 2020 IV 264 ; ATF 143 IV 9 consid. 2.5 ; TF 1B_176/2022 du 21 avril 2022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146 IV 326 consid. 3.1 ; ATF 143 IV 9 consid. 2.6 et 2.7 ; TF 1B_176/2022 du 21 avril 2022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 ATF 137 IV 84 consid. 3.2, JdT 2011 IV 325 ; TF 1B_176/2022 du 21 avril 2022 consid. 3.1). Lorsqu'on dispose d'une expertise psychiatrique ou d'un pré-rapport, il y a lieu d'en tenir compte (ATF 143 IV 9 consid. 2.8).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1B_88/2022 du 29 mars 2022 consid. 3.1).</w:t>
      </w:r>
    </w:p>
    <w:p>
      <w:r>
        <w:rPr>
          <w:b/>
        </w:rPr>
        <w:t>E. 2.2.2</w:t>
      </w:r>
    </w:p>
    <w:p>
      <w:r>
        <w:t>En l’espèce, le recourant allègue ce qui suit s’agissant du risque de récidive : « (…) il est à rappeler que le risque de récidive porté par le Ministère public, puis repris par le Tribunal des mesures de contrainte, est purement abstrait. En effet, on ne voit pas en quoi ce risque serait plus élevé chez Monsieur X.________ que chez le commun de mortels. Le fait d’être soupçonné d’une infraction pénale ne fonde pas un soupçon généralisé sur le comportement futur du prévenu, ce d’autant plus lorsque ce prévenu a un casier judiciaire vierge » (recours, p. 4). Ce faisant, le recourant n’expose aucune critique – factuelle ou juridique – prenant appui sur l’ordonnance querellée. Il se contente de critiques générales – qui sont de surcroît erronées dès lors qu’en l’occurrence, il fait l’objet d’une condamnation inscrite à son casier judiciaire – et ne développe pas les raisons pour lesquelles il faudrait considérer que le risque de réitération est purement abstrait. Partant, son grief est irrecevable.</w:t>
      </w:r>
    </w:p>
    <w:p>
      <w:r>
        <w:rPr>
          <w:b/>
        </w:rPr>
        <w:t>E. 2.3.1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 ATF 133 I 270 consid. 2.2, JdT 2011 IV 3 ; Coquoz, in : Jeanneret/Kuhn/Perrier Depeursinge [éd.], Commentaire romand, Code de procédure pénale suisse, 2 e éd., Bâle 2019, n. 2 ad art. 237 CPP). Le juge de la détention peut également, le cas échéant, assortir les mesures de substitution de toute condition propre à en garantir l’efficacité (ATF 145 IV 503 consid. 3.1).</w:t>
      </w:r>
    </w:p>
    <w:p>
      <w:r>
        <w:rPr>
          <w:b/>
        </w:rPr>
        <w:t>E. 2.3.2</w:t>
      </w:r>
    </w:p>
    <w:p>
      <w:r>
        <w:t>S’agissant de la proportionnalité et des mesures de substitution, le recourant fait valoir ce qui suit : « [e]n l’état, la question des mesures de substitution n’a jamais été approfondie par les autorités dans le cadre de l’instruction pénale contre M. X.________ malgré de multiples demandes. En sus, il n’y a jamais eu aucune motivation juridique pour contrer la mise en place d’une telle démarche. In casu , on ne voit pas en quoi l’assignation à résidence ainsi que la mise en place d’un système de bracelet électronique ne permettraient pas de pallier les risques invoqués par le TMC et le Ministère public. Un écart du recourant serait ainsi immédiatement signalé et permettrait une réaction préventive et non pas de constater une violation a posteriori » (recours, p. 7). Là encore, le recourant ne critique pas précisément le raisonnement suivi par le Tribunal des mesures de contrainte, pourtant fondé sur les conclusions des experts, lesquels préconisent clairement une mesure thérapeutique institutionnelle au sens de l’art. 59 CP, précédée d’un séjour dans un établissement de soins sécurisé. Le Tribunal fédéral a du reste retenu, dans son dernier arrêt, qu’on ne voyait pas quelles mesures de substitution permettraient de réduire le risque de réitération d’une manière suffisante dès lors que le recourant n’avait pas pris conscience de ses troubles psychiques et qu’il ne bénéficiait d’aucun suivi ni traitement. Or, la brève argumentation du recourant consiste en des affirmations personnelles qui ne s’appuient pas sur les raisonnements étayés des autorités judiciaires s’étant prononcées sur la problématique des mesures de substitution. Son moyen ne répond ainsi pas aux exigences des art. 385 al. 1 et 396 al. 1 CPP et se révèle irrecevable.</w:t>
      </w:r>
    </w:p>
    <w:p>
      <w:r>
        <w:rPr>
          <w:b/>
        </w:rPr>
        <w:t>E. 2.4</w:t>
      </w:r>
    </w:p>
    <w:p>
      <w:r>
        <w:t>Enfin, le moyen du recourant consistant à contester l’existence d’un risque de fuite est également irrecevable, le premier juge ne l’ayant pas examiné, constatant à juste titre que les conditions de l’art. 221 al. 1 CPP étaient alternatives.</w:t>
      </w:r>
    </w:p>
    <w:p>
      <w:r>
        <w:rPr>
          <w:b/>
        </w:rPr>
        <w:t>E. 2.5</w:t>
      </w:r>
    </w:p>
    <w:p>
      <w:r>
        <w:t>Au vu de la jurisprudence rendue à propos de l’art. 385 CPP, le recourant ne peut pas se voir impartir un délai pour compléter son recours, d’autant qu’il est assisté d’un avocat qui en connait les exigences de motivation.</w:t>
      </w:r>
    </w:p>
    <w:p>
      <w:r>
        <w:rPr>
          <w:b/>
        </w:rPr>
        <w:t>E. 3</w:t>
      </w:r>
    </w:p>
    <w:p>
      <w:r>
        <w:t>Sur le fond, l’ordonnance attaquée est motivée à satisfaction tant sur les indices de culpabilité que sur le risque de réitération, les mesures de substitution et la proportionnalité. La Chambre de céans y renvoie donc entièrement (cf. art. 82 al. 4 CPP par analogie).</w:t>
      </w:r>
    </w:p>
    <w:p>
      <w:r>
        <w:rPr>
          <w:b/>
        </w:rPr>
        <w:t>E. 4</w:t>
      </w:r>
    </w:p>
    <w:p>
      <w:r>
        <w:t>En définitive, le recours doit être déclaré irrecevable. Le recours étant d’emblée dénué de chance de succès, il ne se justifie pas d’allouer une indemnité au défenseur d’office du recourant. La désignation d’un conseil d’office n’est en effet pas un blanc-seing pour introduire des recours aux frais de l’Etat, y compris contre des décisions de détention provisoire (ATF 139 I 206 consid. 3.3.1 ; TF 1B_648/2022 du 19 janvier 2023 consid. 4.2 ; TF 1B_188/2022 du 9 mai 2022 consid. 5.2). Les frais de la procédure de recours, constitués du seul émolument d’arrêt, par 1'100 fr. (cf. art. 20 al. 1 TFIP [Tarif des frais de procédure et d’indemnités en matière pénale du 28 septembre 2010 ; BLV 312.03.1]), seront mis à la charge du recourant, qui est réputé avoir succombé (cf. art. 428 al. 1, 2 e phrase, CPP). Par ces motifs, la Chambre des recours pénale prononce : I. Le recours est irrecevable. II. Aucune indemnité d’office n’est allouée pour la procédure de recours. III. Les frais d’arrêt, par 1'100 fr. (mille cent francs), sont mis à la charge de X.________. IV. L’arrêt est exécutoire. La présidente : La greffière : Du Le présent arrêt, dont la rédaction a été approuvée à huis clos, est notifié, par l'envoi d'une copie complète, à : - Me Jérôme Reymond, avocat (pour X.________), - Ministère public central, et communiqué à : - Me Miriam Mazou, avocate (pour E.________), - Mme la Présidente du Tribunal des mesures de contrainte,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