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8 vom 16. November 2022</w:t>
      </w:r>
    </w:p>
    <w:p>
      <w:r>
        <w:t>VD Tribunal cantonal, 2022-11-16, FR</w:t>
      </w:r>
    </w:p>
    <w:p>
      <w:r>
        <w:rPr>
          <w:b/>
        </w:rPr>
        <w:t xml:space="preserve">Quelle: </w:t>
      </w:r>
      <w:r>
        <w:t>https://mcp.opencaselaw.ch/entscheid/vd_findinfo_D_cision___2023___8</w:t>
      </w:r>
    </w:p>
    <w:p>
      <w:r>
        <w:t>FR: VD_FINDINFO Décision / 2023 / 8 du 16 novembre 2022</w:t>
      </w:r>
    </w:p>
    <w:p>
      <w:r>
        <w:t>IT: VD_FINDINFO Décision / 2023 / 8 del 16 novembre 2022</w:t>
      </w:r>
    </w:p>
    <w:p>
      <w:pPr>
        <w:pStyle w:val="Heading2"/>
      </w:pPr>
      <w:r>
        <w:t>Regeste</w:t>
      </w:r>
    </w:p>
    <w:p>
      <w:r>
        <w:t>INTERDICTION D'EXERCER UNE PROFESSION, ABUS DE CONFIANCE | 12 let. a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Le fait qu’un avocat sollicite lui-même sa radiation du registre n’empêche pas l’autorité de surveillance d’ouvrir ou de continuer une procédure et de prononcer une sanction disciplinaire pour des faits antérieurs à la radiation (CAVO 7 novembre 2017/26 ; Bohnet/Martenet, Droit de la profession d’avocat, 2009, n. 705 p. 312).</w:t>
      </w:r>
    </w:p>
    <w:p>
      <w:r>
        <w:rPr>
          <w:b/>
        </w:rPr>
        <w:t>E. 1.2</w:t>
      </w:r>
    </w:p>
    <w:p>
      <w:r>
        <w:t>En l’espèce, la présente enquête disciplinaire est dirigée contre un avocat qui, au moment des faits litigieux, était inscrit au registre et pratiquait la représentation en justice dans le canton de Vaud. La Chambre de céans est dès lors compétente.</w:t>
      </w:r>
    </w:p>
    <w:p>
      <w:r>
        <w:rPr>
          <w:b/>
        </w:rPr>
        <w:t>E. 2</w:t>
      </w:r>
    </w:p>
    <w:p>
      <w:r>
        <w:t>e éd., 2017, n. 242 pp. 90 ss).</w:t>
      </w:r>
    </w:p>
    <w:p>
      <w:r>
        <w:rPr>
          <w:b/>
        </w:rPr>
        <w:t>E. 2.1</w:t>
      </w:r>
    </w:p>
    <w:p>
      <w:r>
        <w:t>La question qui se pose est de savoir si les agissements pour lesquels Me F.________ a été condamné selon jugement rendu par le Tribunal de police de l’arrondissement de Lausanne le 15 mars 2022 sont constitutifs d’une violation des règles de la profession d’avocat, plus spécifiquement du devoir de diligence imposé par l’art. 12 let. a LLCA.</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consid. 5.1 ; TF 2A.191/2003 du 22 janvier 2004, confirmé in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op. cit., n. 1165 p. 502). L’avocat viole son devoir de diligence à l’égard de son client lorsqu’il gère le dossier de celui-ci de façon gravement déficiente. Le prononcé de sanctions disciplinaires suppose une violation intentionnelle ou gravement négligente de la part de l’avocat (Bohnet/Martenet, op. cit., n. 1202 p. 514). L’autorité disciplinaire ne doit intervenir qu’en présence de circonstances graves, lorsque l’avocat a exercé sa profession de façon irresponsable et que ses manquements sont de nature à remettre en cause la confiance placée par le public en la profession d’avocat ainsi que la bonne administration de la justice. Ainsi, lorsque l’avocat ne défend pas les intérêts de son mandant, voire lorsqu’il agit sciemment à l’encontre de ceux-ci, il se justifiera de prononcer une sanction disciplinaire (Fellmann, Anwaltsrecht,</w:t>
      </w:r>
    </w:p>
    <w:p>
      <w:r>
        <w:rPr>
          <w:b/>
        </w:rPr>
        <w:t>E. 2.3</w:t>
      </w:r>
    </w:p>
    <w:p>
      <w:r>
        <w:t>En l’espèce, Me F.________ ne conteste pas les comportements qui lui sont reprochés. Il n’a pas souhaité se déterminer, ni être entendu sur les faits de la cause, déclarant s’en remettre à justice. Entre août et octobre 2015 – alors qu’il était encore inscrit au registre et donc soumis à la LLCA –, Me F.________ s’est fait verser 59'841 fr. 30, à l’insu de sa cliente, provenant de l’avoir LPP de cette dernière, somme qu’il a ensuite prélevée sur le compte de consignation dont il était seul titulaire. Il a également encaissé et conservé la somme de 29'000 fr. qu’un autre client lui avait demandé de récupérer auprès de l’Administration fédérale des douanes. Ces faits sont graves. Ils ont été commis intentionnellement par Me F.________ et ont gravement porté préjudice à ses clients. Constitutifs d’abus de confiance qualifié sur le plan pénal, ils sont de nature à entamer durablement la confiance placée par le public dans la profession d’avocat et constituent à l’évidence une violation de l’art. 12 let. a LLCA. Il convient dès lors de constater que par ces agissements, Me F.________ a violé son devoir de diligence au sens de cette disposition.</w:t>
      </w:r>
    </w:p>
    <w:p>
      <w:r>
        <w:rPr>
          <w:b/>
        </w:rPr>
        <w:t>E. 3.1</w:t>
      </w:r>
    </w:p>
    <w:p>
      <w:r>
        <w:t>Le comportement de Me F.________ étant constitutif d’une violation de l’art. 12 let. a LLCA, se pose à présent la question de la mesure disciplinaire qui sanctionne adéquatement ce comportement.</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est soumis au principe de proportionnalité (ATF 108 Ia 230, JdT 1984 I 21 ; Bohnet/Martenet, op. cit., n. 2178 p. 888 et les références citées) et à celui de l’opportunité. La mesure prononcée doit tenir compte, de manière appropriée, de la nature et de la gravité de la violation des règles professionnelles. Elle doit se limiter à ce qui est nécessaire pour garantir la justice (Bohnet/Martenet, op. cit., nn. 2183-2184 p. 890). L’autorité de surveillance dispose d’une certaine marge d’appréciation. Elle doit se laisser guider par les intérêts de la profession ainsi que par les exigences de la protection du public, mais elle est tenue de respecter l’égalité de traitement, l’interdiction de l’arbitraire, ainsi que le principe de proportionnalité. Elle doit éviter tout excès ou abus du pouvoir d’appréciation qui lui est reconnu (Bauer/Bauer, Commentaire romand LLCA, 2 e éd., 2022, nn. 17-18 ad art. 17 LLCA). L’interdiction de pratiquer est la sanction la plus lourde figurant dans la liste des mesures de l’art. 17 LLCA. Comme elle constitue une atteinte grave à la liberté économique, une interdiction de pratiquer ne peut en principe être prononcée qu’en cas de récidive, lorsque des sanctions plus légères se sont révélées insuffisantes pour conduire l’avocat à respecter ses obligations professionnelles. Une interdiction de pratiquer peut toutefois exceptionnellement sanctionner une première violation des obligations professionnelles lorsqu’il s’agit d’un manquement particulièrement grave (TF 2C_536/2018 du 25 février 2019 consid. 4.2). Ainsi, si la faute commise reflète une mentalité incompatible avec l’exercice de la profession d’avocat et si l’appréciation de l’ensemble de l’activité professionnelle antérieure fait apparaître que toute autre sanction serait insuffisante pour garantir un comportement correct de l’avocat à l’avenir, une interdiction définitive de pratiquer peut être prononcée (Bohnet/Martenet, op. cit., n. 2172 p. 886). Il faut que l’autorité considère que toute autre mesure est insuffisante et que la crédibilité de l’avocat concerné soit définitivement entamée. L’interdiction définitive de pratiquer suppose une violation objective et subjective des obligations professionnelles si grave que la sauvegarde de l’intérêt public exclue toute poursuite de l’activité de l’avocat (Fellmann, op. cit., nn. 737-738 pp. 294 ss).</w:t>
      </w:r>
    </w:p>
    <w:p>
      <w:r>
        <w:rPr>
          <w:b/>
        </w:rPr>
        <w:t>E. 3.3</w:t>
      </w:r>
    </w:p>
    <w:p>
      <w:r>
        <w:t>En l’espèce, sur le plan objectif, les actes reprochés à Me F.________ sont particulièrement graves. Ce dernier a agi à l’insu de sa cliente pour requérir le versement sur son compte professionnel de l’avoir LPP de cette dernière à hauteur de 59'841 fr. 30, somme qu’il a ensuite conservée. En outre, il s’est fait remettre de l’Administration fédérale des douanes un montant de 29'000 fr. qu’un client l’avait chargé de récupérer et qu’il a conservé. Me F.________ a été reconnu coupable d’abus de confiance qualifié, infraction qui constitue un crime au sens du droit pénal. Ces actes ont été commis en l’espace de deux mois entre septembre et octobre 2015. Pour un avocat, le fait de spolier ses clients constitue l’un des manquements les plus répréhensibles dont il puisse se rendre coupable (CAVO 9/2019 du 20 février 2019, consid. 4.2 et 4.3). Un tel comportement met clairement à néant la confiance des justiciables dans la profession d’avocat. Sur le plan objectif, les agissements de Me F.________ doivent ainsi être considérés comme extrêmement graves. Sur le plan subjectif, il faut relever que Me F.________ a partiellement réglé les prétentions civiles d’une plaignante, bien que la teneur de cet accord ne soit pas connue. Il a mis fin à sa pratique, demandé sa radiation du registre le 6 juillet 2018 et aurait quitté la Suisse en juin 2022. Il admet les faits qui lui sont reprochés, sans pour autant expliquer son geste. Son mutisme en procédure ne permet ainsi pas d’apprécier dans quelle mesure il aurait pris conscience de la gravité de ses actes. Il n’a pas non plus démontré avoir entrepris des démarches visant à indemniser sa deuxième victime. Au moment de la commission des faits dénoncés, Me F.________ n’avait pas encore fait l’objet de condamnations disciplinaires, la première décision rendue contre lui par la Chambre des avocats datant du 19 juin 2019 et concernant des faits commis en mai 2018. On ne peut donc pas formellement retenir à sa charge un cas de récidive. Il n’en demeure pas moins qu’au cours des trois années qui ont précédé sa demande de radiation du registre, Me F.________ a agi à plusieurs reprises au détriment de ses clients, allant jusqu’à spolier deux d’entre eux d’avoirs qui leur revenaient et qu’il avait été chargé de récupérer, ce qui constitue l’un des agissements les plus graves qu’un avocat puisse commettre dans l’exercice de sa profession. Dans le cadre de la première enquête ouverte à son endroit, il est certes apparu que Me F.________ avait souffert d’un syndrome dépressif depuis l’été 2017, qui avait occasionné deux hospitalisations de plusieurs semaines en janvier 2018, puis en février 2019. On ne saurait toutefois retenir cet élément à décharge de l’intéressé. En effet, bien qu’il soit possible que ce trouble dépressif puisse avoir été latent avant l’été 2017, les faits de la cause ont été commis deux ans plus tôt. De plus, si un état dépressif peut éventuellement expliquer une gestion négligente ou une incapacité à gérer les affaires d’un client, il ne peut en rien excuser le comportement qui est ici reproché à Me F.________, à savoir de s’être approprié illégitimement des avoirs qui appartenaient à ses mandants. Les actes extrêmement graves commis par Me F.________ et son comportement dénotent chez ce dernier un défaut de caractère durablement incompatible avec l’exercice de la profession d’avocat, qui justifient de prononcer à son encontre une interdiction définitive de pratiquer. En spoliant ses clients à hauteur de 88'841 fr. 30, Me F.________ a définitivement et irrémédiablement entamé sa crédibilité auprès des justiciables. La violation par Me F.________ de ses obligations professionnelles est objectivement et subjectivement grave au point que la sauvegarde de l’intérêt public exclut toute poursuite par celui-ci de l’exercice de la profession d’avocat. Le fait que Me F.________ ait partiellement réglé les prétentions civiles d’une plaignante et qu’il ait renoncé à sa pratique ne sont pas des mesures suffisantes pour diminuer la gravité de ses agissements. La restriction à la liberté économique de Me F.________ causée par l’interdiction définitive de pratiquer est justifiée par l’intérêt public à la protection des justiciables et à la bonne administration de la justice, compte tenu de la gravité des actes commis. De surcroît, Me F.________ conserve la faculté de travailler dans le domaine juridique sans toutefois pratiquer la représentation des parties en justice. En définitive, il se justifie de sanctionner le comportement de Me F.________ par une interdiction définitive de pratiquer le métier d’avocat.</w:t>
      </w:r>
    </w:p>
    <w:p>
      <w:r>
        <w:rPr>
          <w:b/>
        </w:rPr>
        <w:t>E. 4</w:t>
      </w:r>
    </w:p>
    <w:p>
      <w:r>
        <w:t>Au vu des considérants qui précèdent, il y a lieu de constater que Me F.________ a violé l’art. 12 let. a LLCA. Une interdiction définitive de pratiquer le métier d’avocat doit être prononcé à son encontre, en application de l’art. 17 al. 1 let. e LLCA. L’interdiction définitive de pratiquer sera publiée dans la Feuille des avis officiels, conformément à l’art. 60 al. 2 LPAv. Avis en sera également donné à toutes les autorités cantonales de surveillance (art. 18 al. 2 LLCA). Les frais de la cause, comprenant un émolument de 568 fr. et les frais d’enquête par 932 fr., seront arrêtés à 1500 fr. et mis à la charge de Me F.________ (art. 59 al. 1 LPAv). Par ces motifs, la Chambre des avocats, statuant à huis clos : I. Constate que l’avocat F.________ a violé l’art. 12 let. a LLCA. II. Prononce l’interdiction définitive de pratiquer de l’avocat F.________. III. Dit que les frais de la cause, par 1'500 fr. (mille cinq cents francs), sont mis à la charge de l’avocat F.________. IV. Dit que la décision est immédiatement exécutoire et retire l'effet suspensif à un éventuel recours en application de l'art. 80 al. 2 LPA-VD. La présidente :               Le greffier : Du La décision qui précède, lue et approuvée à huis clos, est notifiée à : ‑ Me F.________, par publication dans la FAO (art. 44 al. 3 let. a LPA-VD [Loi sur la procédure administrative du 28 octobre 2008 ; BLV 173.36]). La présente décision peut faire l'objet d'un recours au Tribunal cantonal dans un délai de trente jours dès sa notification. Le recours est exercé conformément à la loi sur la procédure administrative (art. 65 LPAv). Cette décision est publiée à la Feuille des avis officiels. Elle est communiquée aux autorités cantonales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