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78 vom 24. Oktober 2022</w:t>
      </w:r>
    </w:p>
    <w:p>
      <w:r>
        <w:t>VD Tribunal cantonal, 2022-10-24, FR</w:t>
      </w:r>
    </w:p>
    <w:p>
      <w:r>
        <w:rPr>
          <w:b/>
        </w:rPr>
        <w:t xml:space="preserve">Quelle: </w:t>
      </w:r>
      <w:r>
        <w:t>https://mcp.opencaselaw.ch/entscheid/vd_findinfo_D_cision___2023___78</w:t>
      </w:r>
    </w:p>
    <w:p>
      <w:r>
        <w:t>FR: VD_FINDINFO Décision / 2023 / 78 du 24 octobre 2022</w:t>
      </w:r>
    </w:p>
    <w:p>
      <w:r>
        <w:t>IT: VD_FINDINFO Décision / 2023 / 78 del 24 ottobre 2022</w:t>
      </w:r>
    </w:p>
    <w:p>
      <w:pPr>
        <w:pStyle w:val="Heading2"/>
      </w:pPr>
      <w:r>
        <w:t>Regeste</w:t>
      </w:r>
    </w:p>
    <w:p>
      <w:r>
        <w:t>USURE{DROIT PÉNAL}, NE BIS IN IDEM, ESCROQUERIE, CONTRAINTE{DROIT PÉNAL}, REJET DE LA DEMANDE, COMMANDEMENT DE PAYER, AFFAIRE CIVILE, ORDONNANCE DE NON-ENTRÉE EN MATIÈRE | 157 CP, 181 CP, 22 ad 181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de T. est recevable.</w:t>
      </w:r>
    </w:p>
    <w:p>
      <w:r>
        <w:rPr>
          <w:b/>
        </w:rPr>
        <w:t>E. 2</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(ATF 143 IV 241 consid. 2.2.1 ; ATF 138 IV 86 consid. 4.1 ; ATF 137 IV 219 consid. 7 et 285 consid. 2.3 ; TF 6B_196/2020 du 14 octobre 2020 consid. 3.1).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 consid. 3.1).</w:t>
      </w:r>
    </w:p>
    <w:p>
      <w:r>
        <w:rPr>
          <w:b/>
        </w:rPr>
        <w:t>E. 2.1</w:t>
      </w:r>
    </w:p>
    <w:p>
      <w:r>
        <w:t>et les réf. citées). Sur le plan subjectif, il faut que l'auteur ait agi intentionnellement, c'est-à-dire qu'il ait voulu contraindre la victime à adopter le comportement visé en étant conscient de l'illicéité de son comportement ; le dol éventuel suffit (ATF 120 IV 17 consid. 2c ; TF 6B_415/2018 du 20 septembre 2018 consid. 2.1.3).</w:t>
      </w:r>
    </w:p>
    <w:p>
      <w:r>
        <w:rPr>
          <w:b/>
        </w:rPr>
        <w:t>E. 2.2</w:t>
      </w:r>
    </w:p>
    <w:p>
      <w:r>
        <w:t>; ATF 125 II 402 consid. 1b ; TF 6B_1100/2020 du 16 décembre 2021, consid. 3.1 et 3.5.1). L’art. 11 al. 2 CPP réserve, outre la révision de la procédure (cf. art. 410 ss CPP), la reprise de la procédure close par une ordonnance de classement ou de non-entrée en matière (cf. art. 323 et 310 al. 2 CPP; ATF 144 IV 81 consid. 2.3.2). Une telle reprise peut être ordonnée lorsque le Ministère public a connaissance de nouveaux moyens de preuves ou de faits nouveaux qui révèlent une responsabilité pénale du prévenu et ne ressortent pas du dossier antérieur (art. 323 al. 1 CPP).</w:t>
      </w:r>
    </w:p>
    <w:p>
      <w:r>
        <w:rPr>
          <w:b/>
        </w:rPr>
        <w:t>E. 3.1</w:t>
      </w:r>
    </w:p>
    <w:p>
      <w:r>
        <w:t>Dans un premier grief d’ordre formel, le recourant se plaint d’une violation de son droit d’être entendu et d’un défaut de motivation, en raison du fait que le Ministère public n’a pas examiné, dans l’ordonnance attaquée, les faits décrits sous l’angle de l’infraction d’usure. Toujours en lien avec cette infraction, il se plaint ensuite d’une violation de l’art. 310 CPP au motif que la procureure ne pouvait pas décider de ne pas entrer en matière sur sa plainte, dans la mesure où les éléments constitutifs de l’infraction seraient réalisés. Il fait valoir qu’en obtenant pour un « simple » déménagement le paiement de « 49'434 fr. 30 » (en réalité 64'434 fr. 30, correspondant au versement d’un acompte de 5'385 fr., de la somme devisée à 44'049 fr. 30 et d’un solde versé pour règlement de compte de 15'000 fr.), B. se serait rendu coupable d’usure. Selon le recourant, il serait notoire qu’un simple déménagement, même d’une certaine importance en France, ne coûterait que quelques milliers de francs et non pas près de 100'000 fr. En cas de doute sur le caractère disproportionné des prestations échangées, le Ministère public aurait dû instruire cette question. Selon T., en tentant d’obtenir la somme totale de 92'514 fr., le prévenu aurait profité de son inexpérience et de son caractère influençable et crédule en tant qu’il est retraité et n’a jamais fait appel à des déménageurs et n’a aucune expérience du monde des affaires. En cas de doute sur son état de faiblesse, le Ministère public aurait également dû investiguer cette question, par exemple, en l’auditionnant.</w:t>
      </w:r>
    </w:p>
    <w:p>
      <w:r>
        <w:rPr>
          <w:b/>
        </w:rPr>
        <w:t>E. 3.2.1</w:t>
      </w:r>
    </w:p>
    <w:p>
      <w:r>
        <w:t>Une autorité commet un déni de justice formel et viole l'art. 29 al. 1 Cst. lorsqu'elle n'entre pas en matière dans une cause qui lui est soumise dans les formes et délais prescrits, alors qu'elle devrait s'en saisir (ATF 142 II 154 consid. 4.2; 135 I 6 consid. 2.1; 134 I 229 consid. 2.3). Elle viole en revanche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138 I 232 consid. 5.1; 137 II 266 consid. 3.2). La motivation peut d'ailleurs être implicite et résulter des différents considérants de la décision (ATF 141 V 557 consid. 3.2.1). Une autorité se rend coupable d'une violation du droit d'être entendu si elle omet de se prononcer sur des griefs qui présentent une certaine pertinence ou de prendre en considération des allégués et arguments importants pour la décision à rendre (ATF 141 V 557 consid. 3.2.1; 133 III 235 consid. 5.2). L’autorité ne commet en revanche pas de déni de justice au seul motif qu'elle n'examine pas expressément une cause sous l'angle d’une qualification juridique déterminée, alors même qu'elle a constaté que le comportement dénoncé ne relevait d'aucune infraction pénale (TF 6B_191/2021 du 11 août 2021 consid. 7.4).</w:t>
      </w:r>
    </w:p>
    <w:p>
      <w:r>
        <w:rPr>
          <w:b/>
        </w:rPr>
        <w:t>E. 3.2.2</w:t>
      </w:r>
    </w:p>
    <w:p>
      <w:r>
        <w:t>Sous la note marginale « interdiction de la double poursuite », l’art. 11 al. 1 CPP prévoit qu’aucune personne condamnée ou acquittée en Suisse par un jugement entré en force ne peut être poursuivie une nouvelle fois pour la même infraction. Selon le principe «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TF 6B_1053/2017 du 17 mai 2018 consid. 4.1). L’interdiction de la double poursuite constitue un empêchement de procéder qui doit être constaté d’office à chaque stade de la procédure (ATF 144 IV 362 consid. 1.3.2 ; TB 6B_303/2019 du 9 avril 2019 consid. 2.1.1).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(TF 4A_292/2017 du 29 janvier 2018 consid. 3.1; TF 6B_1186/2014 du 3 décembre 2015 consid. 4.2 et les réf. citées).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ATF 137 I 363 consid.</w:t>
      </w:r>
    </w:p>
    <w:p>
      <w:r>
        <w:rPr>
          <w:b/>
        </w:rPr>
        <w:t>E. 3.3</w:t>
      </w:r>
    </w:p>
    <w:p>
      <w:r>
        <w:t>En l’espèce, c’est à tort que le recourant se plaint d’une violation du droit d’être entendu au motif que le Ministère public n’aurait pas examiné les faits décrits sous l’angle de l’infraction d’usure dans l’ordonnance attaquée. La Cour de céans relève que le Ministère public a examiné tous les faits que T. a dénoncés en lien avec le coût du déménagement avant de rendre une ordonnance de non-entrée en matière partielle le 19 mai 2022. La procureure n’a pas examiné les faits sous l’angle de l’infraction d’usure dans dite ordonnance, en raison semble-t-il du fait qu’elle n’avait pas encore reçu la plainte complémentaire au moment concerné. Cela étant, T. a fait part, dans sa plainte initiale du 29 novembre 2021, de tous les éléments factuels en lien avec le coût du déménagement et il a produit toutes les pièces utiles à cet égard. Il a déclaré qu’il considérait que ces faits étaient constitutifs de tentative d’escroquerie. Dans sa plainte complémentaire du 31 mars 2022, le recourant s’est strictement référé aux faits décrits dans sa plainte initiale, ayant seulement requalifié ceux-ci, considérant qu’ils étaient constitutifs d’usure. Il n’a cependant décrit aucun fait nouveau ni n’a apporté aucun nouveau moyen de preuve en lien avec le coût du déménagement. C’est ainsi en possession de tous les éléments de fait et de preuve relatifs au coût du déménagement que la magistrate a considéré, dans son ordonnance de non-entrée en matière partielle du 19 mai 2022, que le litige opposant les parties en relation avec le coût du déménagement n’était pas constitutif d’une infraction pénale. Si elle avait considéré que les faits portés à sa connaissance, appuyés par de nombreuses pièces et ayant fait l’objet d’auditions par la police, n’étaient pas constitutifs de l’infraction de tentative d’escroquerie, mais d’usure – infraction poursuivie d’office –, elle n’aurait pas refusé d’entrer en matière sur les faits ainsi dénoncés. Elle a cependant retenu que le litige opposant les parties à ce sujet étaient de nature civile. Du reste, après avoir rendu l’ordonnance de non-entrée en matière partielle, la magistrate a, dans son courrier du 23 juin 2022, fait savoir au recourant que son complément de plainte ne changeait rien à son appréciation. C’est ce qu’elle a également précisé en préambule de l’ordonnance attaquée. Ainsi, le Ministère public n’a pas violé le droit d’être entendu de T. au seul motif qu’il n’a pas expressément examiné les faits dénoncés sous l’angle de la qualification juridique de l’usure, alors même qu’il a constaté que le comportement dénoncé ne relevait d’aucune infraction pénale. A la lecture du recours, force est de constater que l’on ne discerne nulle part et dans aucune allégation le moindre moyen de preuve ou fait nouveau en lien avec le coût du déménagement. En d’autres termes, il n’y a pas d’éléments qui n’auraient pas déjà été investigués, qui n’étaient pas préalablement connus et qui ne ressortaient pas de la plainte initiale déposée auprès du Ministère public. Le recours déposé par T. contre l’ordonnance de non-entrée en matière rendue le 22 août 2022 s’apparente ainsi à une demande faite à l’autorité de céans d’examiner sous l’angle de l’usure des faits identiques et qui concernent les mêmes parties, sur lesquels la procureure a déjà statué dans son ordonnance de non-entrée en matière partielle du 19 mai 2022. Par conséquent, étant rappelé que le principe ne bis in idem s'attache uniquement aux faits et non à leur qualification juridique (cf. consid. 3.2 ci-dessus), il en résulte que l’ordonnance de non-entrée en matière partielle du 19 mai 2022 bénéficie de l’autorité de chose jugée en relation avec les faits relatifs à l’établissement des devis et de la facturation par [...] pour le déménagement. Il n’appartient ainsi pas à la Chambre des recours pénale, en l’absence de faits nouveaux, de statuer une nouvelle fois sur les mêmes faits et d’examiner s’ils sont constitutifs de l’infraction d’usure. Les griefs soulevés par T. en lien avec l’infraction d’usure sont ainsi mal fondés.</w:t>
      </w:r>
    </w:p>
    <w:p>
      <w:r>
        <w:rPr>
          <w:b/>
        </w:rPr>
        <w:t>E. 4.1</w:t>
      </w:r>
    </w:p>
    <w:p>
      <w:r>
        <w:t>Le recourant se plaint ensuite d’une violation de l’art. 310 CPP au motif que la procureure aurait retenu à tort que les éléments constitutifs des infractions de tentative de contrainte et de contrainte n’étaient pas réalisés. Il plaide qu’ayant payé le montant du devis de 44'049 fr. 30, plus l’acompte de 5'385 fr., il aurait soldé sa dette. Or, B. aurait fait pression sur lui pour qu’il paie la facture de 92'514 fr. envoyée après le déménagement en le menaçant de porter atteinte à sa considération et en le menaçant d’une plainte pénale et de procédures judiciaires, ainsi qu’en déposant une réquisition de poursuite à son encontre. Le recourant soutient qu’ayant été alarmé par ces menaces, il se serait dessaisi de 15'000 fr. pour « fermer la facture ».</w:t>
      </w:r>
    </w:p>
    <w:p>
      <w:r>
        <w:rPr>
          <w:b/>
        </w:rPr>
        <w:t>E. 4.2</w:t>
      </w:r>
    </w:p>
    <w:p>
      <w:r>
        <w:t>Se rend coupable de contrainte au sens de l'art. 181 CP et est punissable d’une peine privative de liberté de trois ans au plus ou d’une peine pécuniaire, celui qui, en usant de violence envers une personne ou en la menaçant d'un dommage sérieux, ou en l'entravant de quelque autre manière dans sa liberté d'action, l'aura obligée à faire,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6B_637/2022 du 29 septembre 2022 consid. 5.1.2 ; TF 6B_1396/2021 du 28 juin 2022 consid. 3.1). Selon la jurisprudence, la contrainte n'est contraire au droit que si elle est illicite (ATF 120 IV 17 consid. 2a et les arrêts cités ; TF 6B_415/2018 du 20 septembre 2018 consid. 2.1.3),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6B_415/2018 précité consid. 2.1.3).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précité consid. 2.1.3 et les arrêts cités).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(ATF 142 IV 315 ; TF 6B_153/2017 du 28 novembre 2017 consid. 3.1). Certes, faire notifier un commandement de payer lorsque l’on est fondé à réclamer une somme est licite ; en revanche, utiliser un tel procédé comme moyen de pression est clairement abusif, donc illicite (ATF 115 III 18 consid. 3 ; ATF 115 III 81 consid. 3b ; TF 6B_1407/2022 du 7 novembre 2022 consid.</w:t>
      </w:r>
    </w:p>
    <w:p>
      <w:r>
        <w:rPr>
          <w:b/>
        </w:rPr>
        <w:t>E. 4.3</w:t>
      </w:r>
    </w:p>
    <w:p>
      <w:r>
        <w:t>En l’occurrence, la Cour de céans considère, comme le Ministère public, que les parties sont divisées par un litige civil, chacune se plaignant d’une mauvaise exécution du contrat de déménagement par l’autre. Comme établi par les éléments du dossier, en particulier les auditions menées par la police, le déménagement a été émaillé de difficultés, lesquelles pourraient expliquer le surcoût. Les dégâts et pertes dont se plaint le recourant sont quant à elles attestées par l’expertise établie. Il s’agit cependant de difficultés courantes en lien avec l’exécution d’un contrat de déménagement. Les parties ont fait preuve d’imprudence en ne dressant aucun inventaire, particulièrement des objets précieux, ou encore en n’évaluant pas de manière rigoureuse l’ampleur du déménagement et, partant, son coût. En tant que le déménageur cherche à récupérer sa créance, à tort ou à raison, les agissements dénoncés ne sont pas constitutifs de tentative de contrainte ou de contrainte. Contrairement à ce qu’affirme le recourant, on ne voit pas en quoi, dans les courriels qu’il a reçus de [...] les 4 juillet 2021 et 26 janvier 2022 – certes rédigés en des termes peu raffinés – il aurait été menacé d’un dommage sérieux ou entravé d’une quelconque manière dans sa liberté d’action au sens de la jurisprudence rappelée supra (cf. consid. 4.2). D’abord, contrairement à ce qu’il affirme, l’intéressé n’a pas été menacé d’être atteint dans sa considération. Dans le courriel du 4 juillet 2021, c’est précisément ce qui lui est reproché par [...] et non l’inverse. Ensuite, les avertissements qui ont été donnés au recourant d’intenter des procédures à son encontre demeurent licites, dès lors qu’ils étaient en rapport avec l’exécution du contrat de déménagement. S’agissant de la notification d’un commandement de payer portant sur la somme de 28'080 fr., la démarche est également licite, puisque le montant correspond au solde de la créance réclamée – équivalant au montant de la facture de 92'514 fr. 30 à laquelle ont été soustraites les sommes déjà payées (5'385 fr. + 44'049 fr. 30 + 15'000 fr.) – ; en tout état de cause, vu les montants en jeu et les surcoûts allégués par rapport aux travaux devisés, il n’apparaît pas que ce moyen est disproportionné. La Cour de céans relève, du reste, que T. a été le premier à déposer une plainte pénale à l’encontre de B. et [...] et qu’il a lui-même fait notifier un commandement de payer à chacun des précités pour le montant de 100'000 fr., alors que le dommage dont il se plaint a été estimé selon l’expertise dont il se prévaut à 12'435 EUR. S’agissant enfin de la somme de 15'000 fr. que le recourant a versée à [...], rien n’indique qu’il a agi sous la menace d’un dommage sérieux ou alors qu’il était entravé dans sa liberté d’action. Il apparaît plutôt que le recourant entendait trouver un accord avec le déménageur afin de solder sa dette, par la suite remis en question par ce dernier. Ces questions doivent se régler devant la justice civile. Le moyen est par conséquent infondé.</w:t>
      </w:r>
    </w:p>
    <w:p>
      <w:r>
        <w:rPr>
          <w:b/>
        </w:rPr>
        <w:t>E. 5</w:t>
      </w:r>
    </w:p>
    <w:p>
      <w:r>
        <w:t>Compte tenu de ce qui précède, le recours, manifestement mal fondé, doit être rejeté sans échange d’écritures (art. 390 al. 2 CPP), et l’ordonnance litigieuse confirmée. Les frais de la procédure de recours, constitués du seul émolument d’arrêt, par 1’760 fr. (art. 20 al. 1 TFIP [tarif des frais judiciaires et indemnité en matière pénale du 28 septembre 2010 ; BLV 312.03.1]), seront mis à la charge du recourant, qui succombe (art. 428 al. 1 CPP). Par ces motifs, la Chambre des recours pénale prononce : I. Le recours est rejeté. II. L’ordonnance du 22 août 2022 est confirmée. III. Les frais d’arrêt, par 1’760 fr. (mille sept cent soixante francs), sont mis à la charge du recourant. IV. L’arrêt est exécutoire. La présidente :               La greffière : Du Le présent arrêt, dont la rédaction a été approuvée à huis clos, est notifié, par l'envoi d'une copie complète, à : - Me Elodie Gallaroti, avocate (pour T.), - B., - Ministère public central, et communiqué à : - Madame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