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77 vom 3. Februar 2023</w:t>
      </w:r>
    </w:p>
    <w:p>
      <w:r>
        <w:t>VD Tribunal cantonal, 2023-02-03, FR</w:t>
      </w:r>
    </w:p>
    <w:p>
      <w:r>
        <w:rPr>
          <w:b/>
        </w:rPr>
        <w:t xml:space="preserve">Quelle: </w:t>
      </w:r>
      <w:r>
        <w:t>https://mcp.opencaselaw.ch/entscheid/vd_findinfo_D_cision___2023___77</w:t>
      </w:r>
    </w:p>
    <w:p>
      <w:r>
        <w:t>FR: VD_FINDINFO Décision / 2023 / 77 du 3 février 2023</w:t>
      </w:r>
    </w:p>
    <w:p>
      <w:r>
        <w:t>IT: VD_FINDINFO Décision / 2023 / 77 del 3 febbraio 2023</w:t>
      </w:r>
    </w:p>
    <w:p>
      <w:pPr>
        <w:pStyle w:val="Heading2"/>
      </w:pPr>
      <w:r>
        <w:t>Regeste</w:t>
      </w:r>
    </w:p>
    <w:p>
      <w:r>
        <w:t>DÉTENTION PROVISOIRE, PROLONGATION, SOUPÇON, RISQUE DE FUITE, PROPORTIONNALITÉ, MESURE DE SUBSTITUTION À LA DÉTENTION | 212 al. 3 CPP (CH), 221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 sous réserve de ce qui sera exposé au considérant 6.3 ci-dessous.</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implicitement l’existence de soupçons suffisants de culpabilité à son encontre. Il fait valoir, comme il l’avait déjà fait dans ses précédents recours, que le manche du couteau était cassé, de sorte qu’il n’aurait pas pu utiliser l’arme pour « planter » autrui sans se blesser sérieusement lui-même, et soutient que M.________ ne serait pas un témoin direct des faits, dès lors qu’il aurait affirmé ne pas l’avoir vu sortir de couteau, estimant pour le surplus que le coup de béquille au visage de V.________ attesté par ce témoin ne serait pas suffisamment grave pour justifier sa détention.</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w:t>
      </w:r>
    </w:p>
    <w:p>
      <w:r>
        <w:rPr>
          <w:b/>
        </w:rPr>
        <w:t>E. 3.3</w:t>
      </w:r>
    </w:p>
    <w:p>
      <w:r>
        <w:t>En l’espèce, s’agissant de l’existence de soupçons suffisants, la Cour de céans se réfère pleinement aux arguments développés dans ses arrêts des 10 août et 11 novembre 2022, qui gardent toute leur pertinence, aucun élément nouveau ne permettant de les remettre en cause. Ces soupçons sont fondés en premier lieu sur les déclarations du plaignant, dont le discours, cohérent et factuel, relate un déroulement des évènements clair, sans que l’on distingue d’animosité ou d’intention de nuire dans ses propos, étant précisé que V.________ ne connaissait pas le recourant. Il ressort de ces déclarations que celui-ci s’en serait pris au plaignant, d’abord muni d’un couteau qu’il tenait dans la main droite et dirigé contre son flanc gauche, puis d’une béquille, avec laquelle il l’aurait blessé à la lèvre. Ces évènements sont corroborés par les déclarations du témoin E.________ qui, à deux reprises, dans des déclarations cohérentes et régulières, a relaté avoir assisté à une altercation au cours de laquelle un « monsieur avec un béret », soit A.________, avait menacé « un autre homme de type africain », soit V.________, avec un couteau, qu’il tenait dans la main droite et qu’il pointait à hauteur des côtes de son adversaire. Il a expliqué que le couteau était tombé au sol à la suite d’une manœuvre de l’individu qui était menacé et que celui qui portait le béret s’était alors saisi d’une béquille pour continuer d’en découdre, mais qu’il en avait été empêché par des tiers. On relèvera que le prévenu a lui-même admis, lors de sa première audition par le Ministère public – étant relevé que les premières déclarations d’un prévenu présentent souvent les caractéristiques de la spontanéité et de la sincérité, à l’inverse de celles qui interviennent par la suite et qui peuvent revêtir un caractère moins franc –, s’être saisi d’un couteau pour s’en prendre à V.________. Les versions fluctuantes du recourant sont propres à amoindrir sa crédibilité. Pour le surplus, l’argument développé dans le présent recours, à savoir qu’il n’aurait de toute façon pas pu utiliser le couteau pour blesser autrui dès lors que son manche était cassé et qu’il devait lui-même tenir l’arme par la lame, – déjà développé dans ses précédents recours – ne convainc toujours pas. En effet, le recourant a admis avoir fait usage d’un couteau. Lors de sa première audition, il a expliqué que le manche se serait cassé lorsqu’il avait saisi l’arme ; on en déduit qu’il ignorait qu’il ne pourrait pas effectuer la manœuvre telle qu’il se l’était imaginée. Au demeurant, si le manche de celui-ci était effectivement abimé, il n’en reste pas moins que selon les pièces versées au dossier, la lame du couteau mesurait près de douze centimètres (cf. P. 4/2 ; une dizaine selon E.________, cf. PV audition d’E.________ du 27 juin 2022, R. 8), qu’il était dentelé et qu’il était donc de nature à provoquer des blessures sérieuses. A cela s’ajoute que les événements qui ont suivi ce premier épisode avec le couteau – unanimement relatés par le plaignant et les deux témoins ayant assisté à la scène (E.________ et M.________) –, à savoir le fait qu’après avoir été dépossédé de son arme, le recourant aurait saisi une béquille pour l’employer comme une arme, dénotent sans équivoque la volonté de blesser dont il se défend pourtant. Ainsi, à l’instar de ce qu’elle avait déjà retenu dans ses arrêts des 10 août et 11 novembre 2022, la Chambre de céans considère, s’agissant de la tentative de lésions corporelles qui pourraient être qualifiées de graves, que les faits – dont la vraisemblance est établie à satisfaction à ce stade de la procédure par les éléments au dossier –, loin d’être peu de gravité, permettent de retenir que l’exigence de forts soupçons de la commission d’un crime ou d’un délit est remplie malgré les dénégations du recourant, étant précisé qu’il appartiendra au juge du fond de procéder à une pesée complète des éléments à charge et à décharge et d’apprécier la crédibilité des mises en cause dont il fait l’objet. Les faits reprochés au prévenu en lien avec un éventuel trafic de stupéfiants – qu’il a reconnu lors de sa première audition –, s’ils ne sont peut-être pas déterminants à eux seuls, constituent des éléments à charge supplémentaires. La première condition de l’art. 221 al. 1 CPP apparaît ainsi réalisée.</w:t>
      </w:r>
    </w:p>
    <w:p>
      <w:r>
        <w:rPr>
          <w:b/>
        </w:rPr>
        <w:t>E. 4</w:t>
      </w:r>
    </w:p>
    <w:p>
      <w:r>
        <w:t>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4.1</w:t>
      </w:r>
    </w:p>
    <w:p>
      <w:r>
        <w:t>Le recourant conteste le risque de fuite retenu par le premier juge. Il soutient qu’il n’aurait d’autre intention que de rester en Suisse et de se tenir à la disposition des autorités, compte tenu de la procédure en cours, et fait au demeurant valoir, comme il l’avait déjà fait dans ses précédents recours, qu’il ne s’exposerait de toute façon pas à une peine à ce point significative qu’elle serait de nature à fonder une volonté de s’y soustraire.</w:t>
      </w:r>
    </w:p>
    <w:p>
      <w:r>
        <w:rPr>
          <w:b/>
        </w:rPr>
        <w:t>E. 4.2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1B_195/2022 du 3 mai 2022 consid. 2.2.1). Le risque de fuite s'étend également au risque de se soustraire à la procédure pénale ou à la sanction prévisible en tombant dans la clandestinité à l'intérieur du pays (ATF 143 IV 160 précité ; TF 1B_549/2020 du 9 novembre 2020 consid. 3.1).</w:t>
      </w:r>
    </w:p>
    <w:p>
      <w:r>
        <w:rPr>
          <w:b/>
        </w:rPr>
        <w:t>E. 4.3</w:t>
      </w:r>
    </w:p>
    <w:p>
      <w:r>
        <w:t>En l’espèce, c’est en vain que le recourant, ressortissant espagnol en situation irrégulière en Suisse, conteste l’existence d’un tel risque. La Chambre de céans se réfère à cet égard à l’argumentation développée dans le cadre de ses précédents arrêts, qu’aucun élément nouveau ne vient modifier, à savoir que selon ses propres dires, A.________ est particulièrement mobile dès lors qu’il gravite autour de la France, l’Allemagne, le Danemark et la Suisse depuis trois ans sans disposer d’un réel lieu d’attache pérenne, qu’il ne dispose d’aucun statut dans notre pays, où il séjourne clandestinement, et qu’il n’entretient aucun lien social en Suisse, où il n’a ni travail, ni famille, les membres de celle-ci vivant en France, aux Pays-Bas, en Belgique, en Espagne, en Allemagne et encore en Italie. Pour le surplus, comme déjà relevé, même s’il minimise manifestement les charges qui pèsent sur lui en estimant que celles-ci ne sauraient conduire au prononcé d’une peine de nature à fonder une volonté de s’y soustraire, le recourant a aujourd’hui conscience de la peine encourue et le risque qu’il tente de s’y soustraire, respectivement qu’il ne se tienne pas à la disposition des autorités de poursuite pénale est important. Comme déjà relevé, les simples déclarations d’intention du recourant de rester en Suisse et de se tenir à la disposition des autorités ne suffisent pas compte tenu de l’ensemble de ces éléments. Partant, c’est à raison que le Tribunal des mesures de contrainte a considéré que le risque de fuite était concret.</w:t>
      </w:r>
    </w:p>
    <w:p>
      <w:r>
        <w:rPr>
          <w:b/>
        </w:rPr>
        <w:t>E. 5</w:t>
      </w:r>
    </w:p>
    <w:p>
      <w:r>
        <w:t>Les hypothèses prévues par l'art. 221 al. 1 CPP étant alternatives et non cumulatives (TF 1B_192/2022 du 12 mai 2022 consid. 4.1.2 ; TF 1B_195/2022 précité), l’existence d’un risque de fuite suffit à justifier le maintien en détention provisoire du recourant et dispense la Chambre de céans d’examiner les arguments développés en lien avec l’existence d’un éventuel risque de réitération, certes invoqué par le Ministère public, mais non examiné par le Tribunal des mesures de contrainte. L’argumentation selon laquelle les conclusions du rapport d’expertise ne seraient pas nécessaires pour évaluer le risque de récidive présenté par le recourant n’est donc pas pertinente. Au demeurant, il y a lieu de relever que cette expertise est ainsi nécessaire en l’espèce pour évaluer si le recourant souffre d’un trouble mental ou d’une addiction qui serait en lien avec les faits qui lui sont reprochés, et si une mesure au sens des art. 59 ss CP (Code pénal suisse du 21 décembre 1937 ; RS 311.0) doit être prononcée.</w:t>
      </w:r>
    </w:p>
    <w:p>
      <w:r>
        <w:rPr>
          <w:b/>
        </w:rPr>
        <w:t>E. 6.1</w:t>
      </w:r>
    </w:p>
    <w:p>
      <w:r>
        <w:t>Le recourant invoque enfin une violation du principe de la proportionnalité, relevant, comme il l’avait déjà fait dans son précédent recours, que l’état du dossier ne permettrait pas sérieusement de le mettre en cause, qu’aucune mesure d’instruction ne permettrait de départager les versions contradictoires et qu’il devrait donc être acquitté en cas de jugement. Il fait à nouveau valoir que, même dans l’hypothèse d’une condamnation, sa culpabilité ne serait en aucun cas suffisamment lourde pour justifier une peine privative de liberté ferme, et invoque à nouveau le fait que le Tribunal des mesures de contrainte avait relevé, dans sa première ordonnance, que la durée de la privation de liberté, limitée à deux mois, était proportionnée à la peine susceptible d’être prononcée en cas de condamnation, de sorte qu’il serait contradictoire d’envisager une prolongation, a fortiori pour une durée plus longue. Le recourant fait enfin valoir que, pour le cas où sa libération pure et simple serait refusée, le principe de la proportionnalité commanderait de mettre en œuvre des mesures de substitution à sa détention provisoire. Il ressort de ses conclusions qu’il propose – comme il l’avait déjà fait dans ses précédents recours – de déposer ses documents d’identité auprès du Ministère public, de se présenter une fois par semaine au poste de police de Saint-Martin, à Lausanne, et de porter un bracelet électronique.</w:t>
      </w:r>
    </w:p>
    <w:p>
      <w:r>
        <w:rPr>
          <w:b/>
        </w:rPr>
        <w:t>E. 6.2.1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 Le juge de la détention peut également, le cas échéant, assortir les mesures de substitution de toute condition propre à en garantir l’efficacité (ATF 145 IV 503 consid. 3.1).</w:t>
      </w:r>
    </w:p>
    <w:p>
      <w:r>
        <w:rPr>
          <w:b/>
        </w:rPr>
        <w:t>E. 6.2.2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6.3</w:t>
      </w:r>
    </w:p>
    <w:p>
      <w:r>
        <w:t>En l’espèce, le recourant procède par affirmation ; il n’essaie pas de contrer les arguments exposés par la Chambre des recours pénale dans ses précédents arrêts, se contentant de reprendre les mêmes affirmations, sans proposer le début d’une démonstration. Ce faisant, ce moyen est irrecevable. Au demeurant, force est de constater, à l’instar du Tribunal des mesures de contrainte et conformément aux arrêts rendus par la Chambre des recours pénale les 10 août et 11 novembre 2022, que les mesures de substitution proposées par le recourant ne sont pas susceptibles de prévenir efficacement le risque de fuite constaté et qu’aucune autre mesure n’est à même de le pallier valablement. En effet, compte tenu de la probabilité que le recourant cherche à se soustraire à la justice, il faut considérer, avec la jurisprudence constante du Tribunal fédéral, que le dépôt de ses documents d'identité, même assorti d’une assignation à résidence combinée avec une mesure de surveillance électronique, ou encore l’obligation de se présenter à un service administratif, n’est pas suffisamment efficace pour prévenir un risque sérieux de départ à l’étranger ou de disparition dans la clandestinité (TF 1B_228/2022 du 20 mai 2022 consid. 5.2 ; TF 1B_66/2022 du 28 février 2022 consid. 4.1 ; TF 1B_158/2021 du 20 avril 2021 consid. 3.5 ; cf. également ATF 145 IV 503 précité consid. 3.3.1). Pour le surplus, il y a lieu de relever que le recourant, contrairement à ce qu’il soutient, encourt bien concrètement, au regard de la gravité des infractions envisagées, une peine d’une durée encore supérieure à la période de détention provisoire qu’il a subie à ce jour, respectivement qu’il aura subie le 30 avril 2023, de sorte que le principe de la proportionnalité demeure respecté (art. 212 al. 3 CPP ; ATF 143 IV 168 précité). Comme déjà relevé, le fait que le Tribunal des mesures de contrainte ait, dans sa première ordonnance, considéré qu’une durée de deux mois était proportionnée ne signifie pas qu’il entendait considérer toute prolongation ultérieure comme contraire au principe de la proportionnalité.</w:t>
      </w:r>
    </w:p>
    <w:p>
      <w:r>
        <w:rPr>
          <w:b/>
        </w:rPr>
        <w:t>E. 7</w:t>
      </w:r>
    </w:p>
    <w:p>
      <w:r>
        <w:t>Il résulte de ce qui précède que le recours, manifestement mal fondé, doit être rejeté dans la mesure où il est recevable (cf. consid. 6.3 supra ), sans échange d’écritures (art. 390 al. 2 CPP), et l’ordonnance entreprise confirmée. Me Antoine Golano, défenseur d’office du recourant, a produit une liste d’opérations faisant état de 3 heures consacrées à la procédure de recours. La durée alléguée est excessive, étant relevé que l’affaire était connue et que les moyens développés dans le présent recours sont similaires à ceux invoqués précédemment. Au vu de la nature de l’affaire et du mémoire déposé, il convient en définitive de retenir une activité d’avocat de 2 h 30 au tarif horaire de 180 fr., de sorte que l’indemnité d’office doit être fixée à 450 fr., montant auquel s’ajoutent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9 fr., et la TVA au taux de 7,7 %, par 35 fr. 35, soit à 495 fr. au total en chiffres arrondis. Vu le sort du recours, les frais de la procédure, constitués en l’espèce de l’émolument d'arrêt, par 1’650 fr. (art. 20 al. 1 TFIP), et des frais imputables à la défense d’office d’A.________ (art. 422 al. 1 et 2 let. a CPP), fixés à 495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dans la mesure où il est recevable. II. L’ordonnance du 31 janvier 2023 est confirmée. III. L’indemnité allouée à Me Antoine Golano, défenseur d’office d’A.________, est fixée à 495 fr. (quatre cent nonante-cinq francs), TVA et débours compris. IV. Les frais d’arrêt, par 1’650 fr. (mille six cent cinquante francs), ainsi que l’indemnité allouée à Me Antoine Golano, par 495 fr. (quatre cent nonante-cinq francs), sont mis à la charge d’A.________. V. Le remboursement à l’Etat de l’indemnité allouée au chiffre III ci-dessus ne sera exigible que pour autant que la situation financière d’A.________ le permette. VI. L’arrêt est exécutoire. La présidente :               La greffière : Du Le présent arrêt, dont la rédaction a été approuvée à huis clos, est notifié, par l'envoi d'une copie complète, à : - Me Antoine Golano, avocat (pour A.________), - Ministère public central,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