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73 vom 1. Februar 2023</w:t>
      </w:r>
    </w:p>
    <w:p>
      <w:r>
        <w:t>VD Tribunal cantonal, 2023-02-01, FR</w:t>
      </w:r>
    </w:p>
    <w:p>
      <w:r>
        <w:rPr>
          <w:b/>
        </w:rPr>
        <w:t xml:space="preserve">Quelle: </w:t>
      </w:r>
      <w:r>
        <w:t>https://mcp.opencaselaw.ch/entscheid/vd_findinfo_D_cision___2023___73</w:t>
      </w:r>
    </w:p>
    <w:p>
      <w:r>
        <w:t>FR: VD_FINDINFO Décision / 2023 / 73 du 1 février 2023</w:t>
      </w:r>
    </w:p>
    <w:p>
      <w:r>
        <w:t>IT: VD_FINDINFO Décision / 2023 / 73 del 1 febbraio 2023</w:t>
      </w:r>
    </w:p>
    <w:p>
      <w:pPr>
        <w:pStyle w:val="Heading2"/>
      </w:pPr>
      <w:r>
        <w:t>Regeste</w:t>
      </w:r>
    </w:p>
    <w:p>
      <w:r>
        <w:t>DÉTENTION PROVISOIRE, SOUPÇON, RISQUE DE FUITE, RISQUE DE COLLUSION, PROPORTIONNALITÉ | 212 al. 3 CPP (CH), 221 al. 1 let. a CPP (CH), 221 al. 1 let. b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l’existence de soupçons suffisants de culpabilité à son encontre. Il fait valoir que son comparse A.________ serait le seul visé par les plaintes d’E.________ et d’U.________, lesquels ne s’accorderaient au demeurant pas sur le fait de savoir lequel des deux prévenus aurait déclaré qu’il savait où E.________ travaillait. Il conteste pour sa part avoir dit qu’il savait que ce dernier travaillait au « [...]» et soutient au demeurant que ce ne serait pas lui, mais son compatriote, qui aurait complété ces propos d’une menace. Il fait en outre valoir que tous les protagonistes s’accorderaient à dire que son intervention aurait permis d’éviter que la situation dégénère en empêchant son ami de s’en prendre à des tiers et soutient que les trois autres individus qui se seraient approchés après coup l’auraient fait spontanément et qu’il serait lui-même revenu sur place pour éviter toute escalade de violence, et non pour s’en prendre aux plaignants.</w:t>
      </w:r>
    </w:p>
    <w:p>
      <w:r>
        <w:rPr>
          <w:b/>
        </w:rPr>
        <w:t>E. 3.2</w:t>
      </w:r>
    </w:p>
    <w:p>
      <w:r>
        <w:t>et les références citées ; TF 1B_687/2021 du 11 janvier 2022 consid. 4.1).</w:t>
      </w:r>
    </w:p>
    <w:p>
      <w:r>
        <w:rPr>
          <w:b/>
        </w:rPr>
        <w:t>E. 3.3</w:t>
      </w:r>
    </w:p>
    <w:p>
      <w:r>
        <w:t>En l’espèce, le recourant admet être revenu sur les lieux après une première confrontation, mais uniquement dans le but d’accompagner son ami qui cherchait à comprendre pour quelle raison il avait reçu du spray au visage. Ce faisant, il donne sa propre version des faits, mettant en cause son comparse pour avoir proféré les menaces et niant être revenu sur place avec son ami en compagnie de trois autres hommes avec l’intention d’en découdre. Or, s’il ressort effectivement des dépositions des divers protagonistes qu’il aurait dans un premier temps retenu son ami pour éviter qu’il s’en prenne aux plaignants à l’aide d’un couteau, certains des témoignages recueillis à ce stade précoce de l’enquête tendent également à montrer qu’il aurait déclaré qu’il savait où E.________ travaillait et qu’ils allaient revenir pour en découdre, ce qu’ils auraient fait par la suite en compagnie de trois compatriotes, avant d’être interpellés. Il y a en outre lieu de relever que le recourant fait actuellement l’objet de trois enquêtes, dont une pour menaces. Compte tenu de ces éléments, il existe à ce stade un faisceau d’indices suffisant pour retenir qu’il est bien l’auteur des menaces qui lui sont reprochées et, partant, pour justifier son maintien en détention malgré ses dénégations, étant précisé qu’il appartiendra au juge du fond de procéder à une pesée complète des éléments à charge et à décharge et d’apprécier la crédibilité des mises en cause dont il fait l’objet. C’est donc à juste titre que le Tribunal des mesures de contrainte a retenu qu’il existait à ce stade suffisamment d’éléments pour considérer que l’exigence de forts soupçons de la commission d’un crime ou d’un délit était remplie. La première condition de l’art. 221 al. 1 CPP apparaît ainsi réalisée.</w:t>
      </w:r>
    </w:p>
    <w:p>
      <w:r>
        <w:rPr>
          <w:b/>
        </w:rPr>
        <w:t>E. 4</w:t>
      </w:r>
    </w:p>
    <w:p>
      <w:r>
        <w:t>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4.1</w:t>
      </w:r>
    </w:p>
    <w:p>
      <w:r>
        <w:t>Le recourant, qui se borne à contester l’existence de soupçons suffisants de la commission d’un crime ou d’un délit, ne conteste pas la motivation du Tribunal des mesures de contrainte en relation avec l’existence de risques de fuite et de collusion. Il y a néanmoins lieu d’examiner d’office la réalisation de ces conditions.</w:t>
      </w:r>
    </w:p>
    <w:p>
      <w:r>
        <w:rPr>
          <w:b/>
        </w:rPr>
        <w:t>E. 4.2.1</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w:t>
      </w:r>
    </w:p>
    <w:p>
      <w:r>
        <w:rPr>
          <w:b/>
        </w:rPr>
        <w:t>E. 4.2.2</w:t>
      </w:r>
    </w:p>
    <w:p>
      <w:r>
        <w:t>En l’espèce, le recourant, ressortissant algérien, est en situation illégale en Suisse, où il n’a aucune attache sérieuse. Il a du reste déclaré vouloir quitter la Suisse pour se rendre en France, où il aurait de la famille. Ainsi, au regard de la précarité de sa situation, des charges qui pèsent contre lui et de la peine à laquelle il s’expose – étant précisé que les faits objets de la présente procédure l’exposent en outre à la révocation d’un sursis portant sur une peine privative de liberté de 70 jours –, le risque qu’il quitte la Suisse ou qu’il disparaisse dans la clandestinité pour échapper à la procédure pénale ouverte à son encontre est important. Partant, c’est à raison que le Tribunal des mesures de contrainte a considéré que le risque de fuite était concret.</w:t>
      </w:r>
    </w:p>
    <w:p>
      <w:r>
        <w:rPr>
          <w:b/>
        </w:rPr>
        <w:t>E. 4.3.1</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personnes qui l’accusent.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w:t>
      </w:r>
    </w:p>
    <w:p>
      <w:r>
        <w:rPr>
          <w:b/>
        </w:rPr>
        <w:t>E. 4.3.2</w:t>
      </w:r>
    </w:p>
    <w:p>
      <w:r>
        <w:t>Si le recourant a admis avoir été présent lors des faits et être revenu sur place après la première altercation, il nie être revenu dans l’intention d’en découdre avec les plaignants et avoir été accompagné, pour ce faire, par son ami et trois autres compatriotes, ce qui semble contredit par les premiers éléments de l’enquête. Or, ces trois hommes n’ont pas encore été identifiés, ni a fortiori entendus sur les raisons de leur déplacement sur les lieux. Compte tenu de ce qui précède, il est fortement à craindre que le prévenu mette à profit sa liberté pour tenter d’interférer dans l’instruction en cours, notamment en cherchant à entrer en contact avec les personnes qui pourraient le mettre en cause afin de chercher à les influencer et à accorder leurs versions. Au vu de ces éléments, c’est également à juste titre que le risque de collusion a été retenu.</w:t>
      </w:r>
    </w:p>
    <w:p>
      <w:r>
        <w:rPr>
          <w:b/>
        </w:rPr>
        <w:t>E. 5.1</w:t>
      </w:r>
    </w:p>
    <w:p>
      <w:r>
        <w:t>Le recourant ne conteste pas le raisonnement du premier juge quant à l’absence de mesure de substitution envisageable à ce stade, ni la durée de la privation de liberté ordonnée. Il y a néanmoins lieu d’examiner d’office si la détention provisoire ordonnée par le Tribunal des mesures de contrainte respecte le principe de la proportionnalité.</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5.3</w:t>
      </w:r>
    </w:p>
    <w:p>
      <w:r>
        <w:t>A l’instar du Tribunal des mesures de contrainte, la Chambre de céans ne voit pas à ce stade de mesure de substitution susceptible de prévenir efficacement les risques constatés. Le recourant n’en propose au demeurant aucune. Il y a par ailleurs lieu de considérer que la durée de la détention provisoire ordonnée respecte à ce stade le principe de la proportionnalité, compte tenu de la peine envisageable au regard notamment des antécédents du recourant. Cette durée de deux mois paraît en outre nécessaire pour permettre au Ministère public de procéder aux mesures d’instruction annoncées et d’établir les faits.</w:t>
      </w:r>
    </w:p>
    <w:p>
      <w:r>
        <w:rPr>
          <w:b/>
        </w:rPr>
        <w:t>E. 6</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V.________ sera fixée à 540 fr., correspondant à une activité nécessaire d’avocat de 3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1’210 fr. (art. 20 al. 1 TFIP), et des frais imputables à la défense d’office de V.________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17 janvier 2023 est confirmée. III. L’indemnité allouée au défenseur d’office de V.________ est fixée à 594 fr. (cinq cent nonante-quatre francs). IV. Les frais d’arrêt, par 1’210 fr. (mille deux cent dix francs), ainsi que l’indemnité due au défenseur d’office du recourant, par 594 fr. (cinq cent nonante-quatre francs), sont mis à la charge de V.________. V. Le remboursement à l’Etat de l’indemnité allouée au chiffre III ci-dessus ne sera exigible que pour autant que la situation financière de V.________ le permette. VI. L’arrêt est exécutoire. La présidente :               La greffière : Du Le présent arrêt, dont la rédaction a été approuvée à huis clos, est notifié, par l'envoi d'une copie complète, à : - Me Alexandre Reil, avocat (pour V.________), - Ministère public central, et communiqué à : ‑ Mme la Présidente du Tribunal des mesures de contrainte,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