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703 vom 4. September 2023</w:t>
      </w:r>
    </w:p>
    <w:p>
      <w:r>
        <w:t>VD Tribunal cantonal, 2023-09-04, FR</w:t>
      </w:r>
    </w:p>
    <w:p>
      <w:r>
        <w:rPr>
          <w:b/>
        </w:rPr>
        <w:t xml:space="preserve">Quelle: </w:t>
      </w:r>
      <w:r>
        <w:t>https://mcp.opencaselaw.ch/entscheid/vd_findinfo_D_cision___2023___703</w:t>
      </w:r>
    </w:p>
    <w:p>
      <w:r>
        <w:t>FR: VD_FINDINFO Décision / 2023 / 703 du 4 septembre 2023</w:t>
      </w:r>
    </w:p>
    <w:p>
      <w:r>
        <w:t>IT: VD_FINDINFO Décision / 2023 / 703 del 4 settembre 2023</w:t>
      </w:r>
    </w:p>
    <w:p>
      <w:pPr>
        <w:pStyle w:val="Heading2"/>
      </w:pPr>
      <w:r>
        <w:t>Regeste</w:t>
      </w:r>
    </w:p>
    <w:p>
      <w:r>
        <w:t>DÉTENTION PROVISOIRE, RISQUE DE RÉCIDIVE, MESURE DE SUBSTITUTION À LA DÉTENTION, PROPORTIONNALITÉ, MENACE{DROIT PÉNAL}, EXPERTISE | 212 CPP (CH), 221 al. 1 let. c CPP (CH), 221 al. 2 CPP (CH), 228 al. 1 CPP (CH), 237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provisoire (CREP 9 août 2023/629 consid. 1.1 ; CREP 18 juillet 2023/562 consid.1.1).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En vertu de l’art. 228 al. 1 CPP, le prévenu peut présenter en tout temps une demande de libération de la détention provisoire. Cette demande doit être admise si les conditions de la détention provisoire ne sont pas ou plus remplies.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Aux termes de l’art. 221 al. 2 CPP, la détention peut en outre être ordonnée s’il y a sérieusement lieu de craindre qu’une personne passe à l’acte après avoir menacé de commettre un crime grave.</w:t>
      </w:r>
    </w:p>
    <w:p>
      <w:r>
        <w:rPr>
          <w:b/>
        </w:rPr>
        <w:t>E. 3.1</w:t>
      </w:r>
    </w:p>
    <w:p>
      <w:r>
        <w:t>A juste titre, le recourant ne conteste pas l’existence de soupçons suffisants de culpabilité retenus à son encontre. En effet, il a reconnu la quasi-totalité des faits à l’occasion de son audition par la police, puis par la procureure (PV aud. des 2 et 22 juin 2023). Pour le surplus, on relèvera qu’E.________ a produit l’enregistrement de l’appel téléphonique du 20 juin 2023, dont il ressort que A.M.________ a tenu les propos suivants à son encontre : « tu es morte, tu es finie, je te tue, je te chope dehors, je vais te buter, je t'enterre, je vais t'étrangler, je vais t'égorger ».</w:t>
      </w:r>
    </w:p>
    <w:p>
      <w:r>
        <w:rPr>
          <w:b/>
        </w:rPr>
        <w:t>E. 3.2</w:t>
      </w:r>
    </w:p>
    <w:p>
      <w:r>
        <w:t>Le recourant soutient qu’il ne présente pas de risque de réitération et de passage à l’acte, en faisant valoir en substance que l’expertise sur laquelle se fonde le Ministère public et le Tribunal des mesures de contrainte a été réalisée dans un tout autre contexte, à savoir des infractions d’escroquerie, que le prévenu n’aurait pas fait preuve de la moindre violence physique à l’encontre de son épouse, et que ses menaces, dictées par l’énervement et la frustration, ne suffisent pas à justifier un maintien en détention.</w:t>
      </w:r>
    </w:p>
    <w:p>
      <w:r>
        <w:rPr>
          <w:b/>
        </w:rPr>
        <w:t>E. 3.3</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146 IV 326 consid. 3.1 ;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ATF 143 IV 9 consid. 2.8 et les références citées). Le risque de récidive peut également se fonder sur les infractions faisant l'objet de la procédure pénale en cours, si le prévenu est fortement soupçonné – avec une probabilité confinant à la certitude – de les avoir commises (ATF 146 IV 326 consid. 3.1 ;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consid. 3.1 ; TF 1B_530/2022   du 4 novembre 2022 consid. 3.1).</w:t>
      </w:r>
    </w:p>
    <w:p>
      <w:r>
        <w:rPr>
          <w:b/>
        </w:rPr>
        <w:t>E. 3.4</w:t>
      </w:r>
    </w:p>
    <w:p>
      <w:r>
        <w:t>Le risque de passage à l’acte prévu par l’art. 221 al. 2 CPP représente un motif de détention autonome qui ne requiert pas un soupçon grave de la commission d’une infraction (Moreillon/Parein-Reymond, Petit Commentaire, Code de procédure pénale, 2 e éd., Bâle 2016, n. 48a ad art. 212 al. 2 CPP). Il doit s’agir d’un crime grave et non seulement d’un délit (ATF 137 IV 122 consid. 5.2). Il convient de faire preuve de retenue dans l'admission du risque de passage à l’acte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ATF 137 IV 122 précité). Plus l'infraction redoutée est grave, plus la mise en détention se justifie lorsque les éléments disponibles ne permettent pas une évaluation précise de ce risque (ATF 140 IV 19 précité consid. 2.2.2 et les références citées ; TF 1B_138/2023 du 28 mars 2023 consid. 2.1).</w:t>
      </w:r>
    </w:p>
    <w:p>
      <w:r>
        <w:rPr>
          <w:b/>
        </w:rPr>
        <w:t>E. 3.5</w:t>
      </w:r>
    </w:p>
    <w:p>
      <w:r>
        <w:t>En l’espèce, il sied de constater d’emblée que les parties ont fait l’objet, depuis 2020, de pas moins de six procédures en raison de violences domestiques (P. 22, p. 3) et qu’elles sont depuis lors divisées par un important conflit conjugal. Profondément ancré dans ce conflit et demandeur de contacts avec son enfant, le recourant soutient qu’il a agi par énervement et frustration. Or, force est de constater que de son propre aveu, il ne parvient manifestement pas à maîtriser ses émotions, dans la mesure où tant ses antécédents que l’ouverture d’instructions pénales à son encontre, ne l’ont pas dissuadé d’agir, bien au contraire. En effet, depuis l’ouverture d’une procédure de séparation par E.________ au mois d’avril 2023 (P. 27, p. 4), on constate, à l’instar du Tribunal des mesures de contrainte, une escalade dans les agissements du recourant, celui-ci étant fortement soupçonné d’avoir, dès le mois d’avril 2023, adressé via WhatsApp des messages injurieux à son épouse, et de l’avoir menacée de faire appel au SPJ afin de lui retirer son droit de garde sur leur fils (P. 19/1), d’avoir le 13 mai 2023, escaladé les échafaudages de l’immeuble d’E.________ afin d’accéder à son balcon et entrer en contact avec leur fils B.M.________, d’avoir le 17 juin 2023, téléphoné au lieu de travail d’E.________ où il aurait relaté que leur fils B.M.________ serait en danger, menacé de venir sur les lieux et injurié les collègues de cette dernière, d’avoir menacé par téléphone le 20 juin 2023 de la tuer et enfin de l’avoir suivie, ainsi que son fils, le 22 juin 2023, juste avant son interpellation (P. 27). En outre, le 19 juin 2023, il s’en serait pris physiquement à V.________ en le saisissant à deux reprises par le cou. Tous les faits qui lui sont reprochés ont été commis alors que le recourant était dans le délai d’épreuve de quatre ans imparti par jugement du Tribunal de police de l’arrondissement de Lausanne du 7 juillet 2020. C’est dire que même la perspective de révocation du sursis assortissant la peine privative de liberté de 90 jours qui lui a alors été infligée ne l’a pas dissuadé. De même, il a commis de nouveaux faits alors qu’il est renvoyé devant le Tribunal correctionnel de l’arrondissement de la Broye et du Nord vaudois pour escroquerie par métier et dénonciation calomnieuse. Au vu de ce qui précède et compte tenu de la gravité des menaces proférées envers son épouse (« tu es morte, tu es finie, je te tue, je te chope dehors, je vais te buter, je t’enterre, je vais t’étrangler, je vais t’égorger »), il est à craindre, que sous le coup d’une forte émotion ou d’une frustration, le recourant récidive, voire mette ses menaces de mort à exécution. Cette conclusion vaut d’autant plus que, selon le rapport d’expertise psychiatrique du 14 juin 2022 (P. 21, p. 31-32 et 37-38), il souffre d’un trouble de la personnalité dyssociale, qui se caractérise notamment par une très faible tolérance à la frustration et un abaissement du seuil de décharge de l’agressivité, y compris de la violence, ainsi qu’une incapacité à éprouver de la culpabilité. Enfin, à ce stade, le dossier ne contient aucun élément qui infirme le diagnostic posé dans le rapport d’expertise. Le fait qu’un tel rapport ait été déposé dans le cadre d’une enquête pour des faits d’escroquerie par métier ne parait pas avoir d’influence sur le diagnostic posé, qui date du 14 juin 2022 et est donc récent. Au demeurant, le Ministère public a délivré un mandat d’expertise le 31 août 2023 pour actualiser le rapport précité au vu des infractions nouvellement reprochées au recourant. Partant, l’existence des risques de réitération et de passage à l’acte justifient le maintien du recourant en détention provisoire.</w:t>
      </w:r>
    </w:p>
    <w:p>
      <w:r>
        <w:rPr>
          <w:b/>
        </w:rPr>
        <w:t>E. 4.1</w:t>
      </w:r>
    </w:p>
    <w:p>
      <w:r>
        <w:t>Le recourant conteste l’existence d’un risque de fuite, au motif notamment qu’il est de nationalité suisse, au bénéfice d’une rente AI, et que son ex-femme est domiciliée en Suisse avec sa famille.</w:t>
      </w:r>
    </w:p>
    <w:p>
      <w:r>
        <w:rPr>
          <w:b/>
        </w:rPr>
        <w:t>E. 4.2</w:t>
      </w:r>
    </w:p>
    <w:p>
      <w:r>
        <w:t>En l’espèce, cette question peut rester ouverte, dès lors que l’existence d’un seul risque suffit pour justifier la détention provisoire, les hypothèses prévues par l'art. 221 al. 1 CPP étant alternatives et non cumulatives (TF 1B_134/2023 du 5 avril 2023 consid. 4.4).</w:t>
      </w:r>
    </w:p>
    <w:p>
      <w:r>
        <w:rPr>
          <w:b/>
        </w:rPr>
        <w:t>E. 5.1</w:t>
      </w:r>
    </w:p>
    <w:p>
      <w:r>
        <w:t>Le recourant sollicite le prononcé de mesures de substitution et soutient que sa détention provisoire serait disproportionnée.</w:t>
      </w:r>
    </w:p>
    <w:p>
      <w:r>
        <w:rPr>
          <w:b/>
        </w:rPr>
        <w:t>E. 5.1.1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(ATF 145 IV 503 consid. 3.3.1 ; TF 1B_383/2020 du 13 août 2020 consid. 5.1).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w:t>
      </w:r>
    </w:p>
    <w:p>
      <w:r>
        <w:rPr>
          <w:b/>
        </w:rPr>
        <w:t>E. 5.1.2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5.2</w:t>
      </w:r>
    </w:p>
    <w:p>
      <w:r>
        <w:t>En l’occurrence, le Tribunal des mesures de contrainte a considéré qu’aucune mesure de substitution n’était apte à parer aux risques retenus, au vu de leur intensité, y compris celles proposées par le recourant, soit le dépôt de ses pièces d’identité et toute mesure visant à le tenir éloigné de son épouse et de son fils. Cette appréciation peut être entièrement confirmée. Du reste, le recourant ne propose pas la mise en œuvre d’un traitement ambulatoire. Quoi qu’il en soit, le Ministère public a mis en œuvre une expertise psychiatrique le 31 août 2023 sur le point de savoir si un tel traitement, préconisé par les experts dans le cadre des infractions d’escroquerie par métier et de dénonciation calomnieuse, vaudrait aussi au regard des nouvelles infractions reprochées au recourant. Dans ces conditions, un tel traitement – au demeurant non mis en place – apparaîtrait prématuré. Au terme de la détention ordonnée, le recourant aura subi trois mois de détention, ce qui ne saurait être considéré comme excessif au vu de la gravité des faits reprochés – à elle seule, l’infraction de menaces qualifiées à l’encontre de l’épouse est passible d’une peine privative de liberté de trois ans – et de ses antécédents, si bien que le principe de la proportionnalité est respecté (art. 212 al. 3 CPP).</w:t>
      </w:r>
    </w:p>
    <w:p>
      <w:r>
        <w:rPr>
          <w:b/>
        </w:rPr>
        <w:t>E. 6</w:t>
      </w:r>
    </w:p>
    <w:p>
      <w:r>
        <w:t>Il résulte de ce qui précède que le recours, manifestement mal fondé, doit être rejeté sans échange d’écritures (art. 390 al. 2 CPP) et l’ordonnance entreprise confirmée. Compte tenu de la nature de l’affaire et de l’acte de recours déposé,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 auxquels s’ajoutent 2 % pour les débours (art. 3bis al. 1 RAJ par renvoi de l'art. 26b TFIP), soit</w:t>
      </w:r>
    </w:p>
    <w:p>
      <w:r>
        <w:rPr>
          <w:b/>
        </w:rPr>
        <w:t>E. 10</w:t>
      </w:r>
    </w:p>
    <w:p>
      <w:r>
        <w:t>fr. 80, et 7,7 % de TVA sur le tout, soit 42 fr. 40, de sorte que l'indemnité d'office s'élève au total à 594 fr. en chiffres arrondis. Les frais de la procédure de recours, constitués en l'espèce de l'émolument d'arrêt, par 1’320 fr. (art. 20 al. 1 TFIP) et des frais imputables à la défense d'office (art. 422 al. 1 et 2 let. a CPP), par 594 fr., soit 1'914 fr. au total,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15 août 2023 est confirmée. III. L’indemnité allouée à Me Stève Kalbermatten, défenseur d’office de A.M.________, est fixée à 594 fr. (cinq cent nonante-quatre francs). IV. Les frais d’arrêt, par 1’320 fr. (mille trois cent vingt francs), ainsi que l’indemnité allouée au défenseur d’office de A.M.________, par 594 fr. (cinq cent nonante-quatre francs), sont mis à la charge de ce dernier. V. Le remboursement à l’Etat de l’indemnité allouée sous chiffre III ci-dessus ne sera exigible de A.M.________ que pour autant que sa situation financière le permette. VI. L’arrêt est exécutoire. La présidente :               La greffière : Du Le présent arrêt, dont la rédaction a été approuvée à huis clos, est notifié, par l'envoi d'une copie complète, à : - Me Stève Kalbermatten (pour A.M.________), - Ministère public central, et communiqué à : ‑ Mme la Présidente du Tribunal des mesures de contrainte, - M. le Procureur de l’arrondissement de l’Est vaudois, - Me François Gillard (pour E.________),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