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683 vom 24. August 2023</w:t>
      </w:r>
    </w:p>
    <w:p>
      <w:r>
        <w:t>VD Tribunal cantonal, 2023-08-24, FR</w:t>
      </w:r>
    </w:p>
    <w:p>
      <w:r>
        <w:rPr>
          <w:b/>
        </w:rPr>
        <w:t xml:space="preserve">Quelle: </w:t>
      </w:r>
      <w:r>
        <w:t>https://mcp.opencaselaw.ch/entscheid/vd_findinfo_D_cision___2023___683</w:t>
      </w:r>
    </w:p>
    <w:p>
      <w:r>
        <w:t>FR: VD_FINDINFO Décision / 2023 / 683 du 24 août 2023</w:t>
      </w:r>
    </w:p>
    <w:p>
      <w:r>
        <w:t>IT: VD_FINDINFO Décision / 2023 / 683 del 24 agosto 2023</w:t>
      </w:r>
    </w:p>
    <w:p>
      <w:pPr>
        <w:pStyle w:val="Heading2"/>
      </w:pPr>
      <w:r>
        <w:t>Regeste</w:t>
      </w:r>
    </w:p>
    <w:p>
      <w:r>
        <w:t>DÉTENTION PROVISOIRE, RISQUE DE FUITE, SOUPÇON | 221 al. 1 let. a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une détenue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conteste uniquement l’existence de soupçons suffisants de commission d’infractions. Il soutient que le lésé, qui aurait vu les deux cambrioleurs, ne l’aurait pas reconnu le soir même des faits qui lui sont reprochés. Par ailleurs, aucune trace ADN ni aucun témoin ou message ne le confonderaient, alors que l’enquête est parvenue à son terme. Quant aux connexions des numéros de téléphone aux antennes émettrices, le rapport de police du 26 février 2015 ne permettrait pas de fonder l’existence de soupçons suffisants. D’une part, les données téléphoniques démontreraient au contraire qu’il n’était pas en Suisse le 14 octobre 2014. D’autre part, le rapport de police précité ne mettrait en évidence qu’un faisceau indiquant la direction du téléphone cellulaire incriminé, faisceau couvrant un large périmètre, de sorte le recourant aurait pu se trouver à bonne distance des lieux des cambriolages.</w:t>
      </w:r>
    </w:p>
    <w:p>
      <w:r>
        <w:rPr>
          <w:b/>
        </w:rPr>
        <w:t>E. 3.2</w:t>
      </w:r>
    </w:p>
    <w:p>
      <w:r>
        <w:t>La mise en détention provisoire n'est possible que s'il existe à l'égard de l'auteur présumé, et préalablement à toute autre cause, de graves soupçons d'avoir commis un crime ou un délit (ATF 139 IV 186 consid. 2 ; Chaix, in : Jeanneret et al. [éd.], Commentaire romand, Code de procédure pénale suisse, 2e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1B_88/2022 du 29 mars 2022 consid. 2.1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1B_572/2021 du 5 novembre 2021 consid. 2.1 et les références citées).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139 consid. 2.1 ; ATF 137 IV 122 consid. 3.2 ; ATF 124 I 208 consid. 3 ; TF 1B_581/2022 du 1er décembre 2022 consid. 2.1.2 ; Forster, in : Niggli et. al. [éd.], Basler Kommentar, Schweizerische Strafprozessordnung, 2e éd., Bâle 2014, n. 3 ad art. 221 CPP).</w:t>
      </w:r>
    </w:p>
    <w:p>
      <w:r>
        <w:rPr>
          <w:b/>
        </w:rPr>
        <w:t>E. 3.3</w:t>
      </w:r>
    </w:p>
    <w:p>
      <w:r>
        <w:t>En l’espèce, la condition relative à l’existence de forts soupçons de commission d’infractions est réalisée. En effet, il ressort du rapport d’investigation du 26 février 2015 que le recourant, qui est au demeurant connu sous cinq alias différents, avait déclaré être venu en Suisse mi-novembre 2014 pour acheter une voiture en vue de l’exporter dans son pays et qu’il avait emporté 13'000 fr. ou 14'000 fr. pour le faire, en omettant de déclarer cette somme aux services douaniers lors de son passage à la frontière italo-suisse. Or, au jour de son interpellation, soit le 16 décembre 2014, non seulement il n’avait pas acheté de voiture, mais il n’était en outre porteur que de 7'000 fr., ce qui aurait signifié qu’il avait dépensé des milliers de francs en quelques jours. Ces explications apparaissent très peu crédibles, voire même farfelues. Certes, une identification formelle n’a pas pu être obtenue. Toutefois, le signalement donné par E.________ quant à un des cambrioleurs, s’agissant de la taille, de l’âge, du type caucasien et du vêtement porté, à savoir une doudoune bleue à capuche, correspond en tout point au recourant, celui-ci ayant été interpellé environ 30 minutes après le signalement précité, à seulement 800 mètres du lieu du délit et portant une doudoune bleue à capuche. A cela s’ajoute encore qu’une piste a été prise par le chien de la police, laquelle a abouti précisément sur la route où a été interpellé le recourant. De plus, le traçage de son téléphone et de la carte SIM démontre que le recourant a changé plusieurs fois d’appareil et qu’il a été géolocalisé à proximité (800 mètres) des lieux des cambriolages des 5 octobre et 10 décembre 2014. Le fait que l’un des numéros utilisés en Suisse par le recourant n’ait pas été utilisé avant le 4 novembre 2014 ne suffit pas pour en déduire qu’il était à l’étranger à cette période. Enfin, quand bien même les faits sont anciens, ils ne sont pas prescrits. En outre, le casier judiciaire italien du prévenu fait état d’une condamnation, le 30 décembre 1996, pour recel, à une peine d’emprisonnement d’un mois et 10 jours, ainsi qu’à une amende correspondant à 1547.39 euros. Au vu de l’ensemble des éléments qui précèdent, la première condition de l’art. 221 al. 1 CPP est réalisée.</w:t>
      </w:r>
    </w:p>
    <w:p>
      <w:r>
        <w:rPr>
          <w:b/>
        </w:rPr>
        <w:t>E. 4.1</w:t>
      </w:r>
    </w:p>
    <w:p>
      <w:r>
        <w:t>L’ordonnance attaquée se fonde sur l’existence d’un risque de fuite. Le recourant ne conteste pas la réalisation de ce risque, à juste titre.</w:t>
      </w:r>
    </w:p>
    <w:p>
      <w:r>
        <w:rPr>
          <w:b/>
        </w:rPr>
        <w:t>E. 4.2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w:t>
      </w:r>
    </w:p>
    <w:p>
      <w:r>
        <w:rPr>
          <w:b/>
        </w:rPr>
        <w:t>E. 4.3</w:t>
      </w:r>
    </w:p>
    <w:p>
      <w:r>
        <w:t>En l’espèce, l’argumentation du Tribunal des mesures de contrainte s’agissant de l’existence d’un risque de fuite peut être entièrement suivie. En effet, le recourant est un ressortissant albanais, sans aucune attache avec la Suisse. Selon ses déclarations, il serait également au bénéfice de documents grecs grâce à son épouse. Il résiderait actuellement en Angleterre avec sa femme et leurs trois enfants. Il y travaillerait comme carreleur. Son épouse et lui seraient en outre propriétaire d’une maison familiale en Albanie (PV aud. d’arrestation du 05.08.23, l. 87 et ss). Il aurait également vécu en Italie durant une dizaine d’années (PV aud. du 17.12.2014, R. 4). Il a par ailleurs déjà prouvé que ce risque était réalisé, puisqu’après avoir été placé en détention provisoire le 16 décembre 2014, puis relaxé le 14 janvier 2015, il a fait défaut à une audience du Ministère public, sans présenter d’excuse, quand bien même un sauf-conduit avait été délivré. Un mandat d’amener a ensuite dû être délivré et le prévenu a fait l’objet d’un signalement au RIPOL sous la rubrique mandat d’arrêt. En outre, comme déjà mentionné ci-dessus, le recourant est connu sous cinq alias. Dans ces conditions, il est sérieusement à craindre qu’en cas de libération, il prenne la fuite pour retourner en Angleterre, en Italie ou en Albanie ou qu’il tombe dans la clandestinité sur le territoire helvétique afin d’échapper aux poursuites engagées contre lui. L’existence d’un risque de fuite justifie donc le maintien en détention provisoire du recourant.</w:t>
      </w:r>
    </w:p>
    <w:p>
      <w:r>
        <w:rPr>
          <w:b/>
        </w:rPr>
        <w:t>E. 5</w:t>
      </w:r>
    </w:p>
    <w:p>
      <w:r>
        <w:t>Aucune mesure de substitution (dépôt des papiers d'identité, assignation à résidence assortie du port d'un bracelet électronique, obligation de se présenter) n'est suffisamment efficace pour prévenir un risque sérieux de départ à l'étranger ou d'entrée dans la clandestinité (TF 1B_228/2022 du 20 mai 2022 consid. 5.2 et les réf. citées), le recourant n’en proposant du reste aucune.</w:t>
      </w:r>
    </w:p>
    <w:p>
      <w:r>
        <w:rPr>
          <w:b/>
        </w:rPr>
        <w:t>E. 6.1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w:t>
      </w:r>
    </w:p>
    <w:p>
      <w:r>
        <w:rPr>
          <w:b/>
        </w:rPr>
        <w:t>E. 6.2</w:t>
      </w:r>
    </w:p>
    <w:p>
      <w:r>
        <w:t>En l’espèce, le recourant a été détenu du 16 décembre 2014 au 15 janvier 2015, soit pendant environ un mois, et il est à nouveau détenu depuis le 4 août 2023, soit depuis moins d’un mois. Compte tenu des charges qui pèsent sur lui, il s'expose à une peine privative de liberté d’une durée supérieure à celle de la détention subie à ce jour, respectivement à subir jusqu’au 14 septembre 2023. Quand bien même les faits sont anciens, la mise en détention demeure proportionnée, dans la mesure où la durée de la procédure lui est imputable. Il s’est en effet mis lui-même en position d’être signalé au RIPOL, en ne répondant pas aux convocations, courant le risque d’être interpellé bien plus tard.</w:t>
      </w:r>
    </w:p>
    <w:p>
      <w:r>
        <w:rPr>
          <w:b/>
        </w:rPr>
        <w:t>E. 7</w:t>
      </w:r>
    </w:p>
    <w:p>
      <w:r>
        <w:t>Il résulte de ce qui précède que le recours doit être rejeté sans échange d’écritures (art. 390 al. 2 CPP) et l’ordonnance attaquée confirmée. Les frais de la procédure de recours, constitués en l’espèce de l’émolument d'arrêt, par 990 fr. (art. 20 al. 1 TFIP [Tarif des frais judiciaires de procédure et indemnités en matière pénale du 28 septembre 2010 ; BLV 312.03.1]), et des frais imputables à la défense d’office (art. 422 al. 1 et 2 let. a CPP), fixés à 540 fr. (3 heures d’activité nécessaires d’avocat au tarif horaire de 180 fr.), auxquels il convient d’ajouter des débours forfaitaires à concurrence de 2%, par 10 fr. 80, plus la TVA, par 42 fr. 40, soit à 594 fr. au total en chiffres arrondis,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7 août 2023 est confirmée. III. L’indemnité allouée au défenseur d'office d’A.________ est fixée à 594 fr. (cinq cent nonante-quatre francs). IV. Les frais d’arrêt, par 990 fr. (neuf cent nonante francs), ainsi que l’indemnité due au défenseur d’office d’A.________, par 594 fr. (cinq cent nonante-quatre francs), sont mis à la charge de ce dernier. V. Le remboursement à l'Etat de l'indemnité allouée au chiffre III ci-dessus ne sera exigible que pour autant que la situation financière d’A.________ le permette. VI. L’arrêt est exécutoire. La présidente :               La greffière : Du Le présent arrêt, dont la rédaction a été approuvée à huis clos, est notifié, par l'envoi d'une copie complète, à : - Me Simon Mailler, avocat (pour A.________), - Ministère public central ; et communiqué à : - Mme la Présidente du Tribunal des mesures de contrainte,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