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654 vom 18. August 2023</w:t>
      </w:r>
    </w:p>
    <w:p>
      <w:r>
        <w:t>VD Tribunal cantonal, 2023-08-18, FR</w:t>
      </w:r>
    </w:p>
    <w:p>
      <w:r>
        <w:rPr>
          <w:b/>
        </w:rPr>
        <w:t xml:space="preserve">Quelle: </w:t>
      </w:r>
      <w:r>
        <w:t>https://mcp.opencaselaw.ch/entscheid/vd_findinfo_D_cision___2023___654</w:t>
      </w:r>
    </w:p>
    <w:p>
      <w:r>
        <w:t>FR: VD_FINDINFO Décision / 2023 / 654 du 18 août 2023</w:t>
      </w:r>
    </w:p>
    <w:p>
      <w:r>
        <w:t>IT: VD_FINDINFO Décision / 2023 / 654 del 18 agosto 2023</w:t>
      </w:r>
    </w:p>
    <w:p>
      <w:pPr>
        <w:pStyle w:val="Heading2"/>
      </w:pPr>
      <w:r>
        <w:t>Regeste</w:t>
      </w:r>
    </w:p>
    <w:p>
      <w:r>
        <w:t>DROIT D'ÊTRE ENTENDU, DÉTENTION PROVISOIRE, SOUPÇON, MODIFICATION DES CIRCONSTANCES, ADMISSION DE LA DEMANDE | 29 al. 2 Cst., 221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(art. 396 al. 1 CPP) par le détenu qui a qualité pour recourir (art. 382 al. 1 CPP) et dans les formes prescrites (art. 385 al. 1 CPP), le recours est recevable.</w:t>
      </w:r>
    </w:p>
    <w:p>
      <w:r>
        <w:rPr>
          <w:b/>
        </w:rPr>
        <w:t>E. 2</w:t>
      </w:r>
    </w:p>
    <w:p>
      <w:r>
        <w:t>Le recourant conteste l’existence de forts soupçons de la commission d’un crime ou d’un délit, relevant à cet égard que les mesures d’instruction mises en œuvre par le Ministère public depuis son placement en détention provisoire avaient permis de dissiper les soupçons initiaux. Par ailleurs, invoquant une violation de son droit d’être entendu, il fait grief au Tribunal des mesures de contrainte de s’être limité à une motivation par simple renvoi à ses précédentes ordonnances, sans examiner, à tout le moins sommairement, si les nouveaux éléments figurant au dossier étaient de nature à renforcer, voire à écarter, les soupçons existants.</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La mise en détention provisoire et, a fortiori, le maintien en détention,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1B_581/2022 du 1 er décembre 2022 consid. 2.1.2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1B_99/2023 du 7 mars 2023 consid. 4.1 et les références citées).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139 consid. 2.1 ; ATF 137 IV 122 consid. 3.2 ; ATF 124 I 208 consid. 3 ; TF 1B_581/2022 du 1er décembre 2022 consid. 2.1.2 ; Forster, in : Niggli/Heer/Wiprächtiger [éd.], Basler Kommentar, Schweizerische Strafprozessordnung, 2 e éd., Bâle 2014, n. 3 ad art. 221 CPP).</w:t>
      </w:r>
    </w:p>
    <w:p>
      <w:r>
        <w:rPr>
          <w:b/>
        </w:rPr>
        <w:t>E. 2.3</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6B_1169/2022 du 30 juin 2023 consid. 1.1). Il n'a toutefois pas l'obligation d'exposer et de discuter tous les faits, moyens de preuve et griefs invoqués par les parties, mais peut se limiter à l'examen des questions décisives pour l'issue du litige (ATF 147 IV 249 consid. 2.4 ; ATF 142 II 154 consid. 4.2 ; ATF 139 IV 179 consid. 2.2 ; TF 6B_1169/2022 précité). Dès lors que l'on peut discerner les motifs qui ont guidé la décision de l'autorité, le droit à une décision motivée est respecté, même si la motivation présentée est erronée (ATF 141 IV 557 consid. 3.2.1 ; TF 5A_501/2022 du 21 juin 2023 consid. 3.1.2). La motivation peut d'ailleurs être implicite et résulter des différents considérants de la décision (ATF 141 IV 557 consid. 3.2.1 ; TF 6B_1169/2022 précité). La jurisprudence rendue en matière de prolongation de la détention provisoire, également applicable en matière de détention pour des motifs de sûreté lorsque celle-ci fait suite à une détention provisoire,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(ATF 123 I 31 consid. 2c ; TF 1B_77/2021 du 23 mars 2021 consid. 3.2 ; TF 1B_252/2020 du 11 juin 2020 consid. 2.1 ; TF 1B_49/2016 du 25 février 2016 consid. 2 et les arrêts cités).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CREP 29 juin 2023/521 consid. 3.2 ; CREP 28 mars 2023/245 consid. 3.2).</w:t>
      </w:r>
    </w:p>
    <w:p>
      <w:r>
        <w:rPr>
          <w:b/>
        </w:rPr>
        <w:t>E. 2.4</w:t>
      </w:r>
    </w:p>
    <w:p>
      <w:r>
        <w:t>En l’espèce, s’agissant des soupçons sérieux pesant sur le prévenu, le Tribunal des mesures de contrainte a indiqué, dans l’ordonnance entreprise, qu’il se référait intégralement à ses deux précédentes ordonnances, lesquelles gardaient toute leur pertinence, et que, contrairement à ce que soutenait la défense, ces soupçons existaient toujours même si l’intéressé n’avait « jamais touché l’arme, la détente, le magasin ou les munitions ». Cela étant, la défense ne s’est pas limitée, dans ses déterminations du 13 juillet 2023, à relever que le rapport de la Police de sûreté du 22 juin 2023 avait confirmé les déclarations du recourant, à savoir qu’il n’avait jamais « touché l’arme, la détente, le magasin ou les munitions ». Elle a également fait valoir, en s’appuyant sur ce même rapport (cf. P. 113), que son profil biologique avait été relevé uniquement sur un téléphone qui lui appartenait et sur une canette mais pas sur les cartes bancaires, ni sur le volant des voitures ni même sur les autres objets volés. S’agissant de la course-poursuite, elle a souligné qu’il était désormais acquis que les portes arrière de la voiture étaient verrouillées de l’intérieur, que le recourant ne pouvait dès lors pas en sortir et que sa seule présence dans le véhicule ne permettait pas de conclure qu’il était impliqué dans la course-poursuite ni même qu’il s’accommodait des actions des trois autres protagonistes. Elle a par ailleurs rappelé, en indiquant expressément les procès-verbaux d’audition et les réponses concernées, que le recourant avait toujours déclaré qu’il n’avait jamais eu connaissance des intentions des protagonistes ni a fortiori accepté leurs agissements. Elle a enfin et surtout fait valoir que l’absence d’implication du recourant avait désormais été confirmée par les déclarations des trois autres prévenus dont elle a pris la peine de reproduire les extraits topiques tout en mentionnant, pour chaque citation, le procès-verbal ainsi que la réponse ou les lignes concernées. Il s’ensuit que le Tribunal des mesures de contrainte ne pouvait pas se borner à balayer l’un des arguments avancés par la défense dans ses déterminations du 13 juillet 2023 en renvoyant à ses précédentes ordonnances. Il devait au contraire examiner l’ensemble des arguments nouveaux et pertinents – puisqu’ils paraissent contrer ceux précédemment retenus par le Tribunal des mesures de contrainte, en particulier dans son ordonnance du 23 avril 2023 – qui lui étaient soumis pour déterminer s’ils étaient susceptibles de conduire à une appréciation différente de l’existence de soupçons de culpabilité suffisants. En ne le faisant pas, le Tribunal a violé de manière manifeste le droit d’être entendu du recourant. Quand bien même la Chambre des recours pénale dispose d’un plein pouvoir d’examen, il ne lui appartient pas de réparer la violation du droit d’être entendu constatée ci-dessus. En effet, compte tenu des enjeux, le recourant doit pouvoir bénéficier à cet égard de la garantie de la double instance (CREP 22 juin 2023/449 consid. 2.3 ; CREP 20 décembre 2022/973 ; CREP 26 septembre 2022/788 ; CREP 24 février 2022/140), le vice étant d’autant plus irréparable que l’autorité intimée ne s’est pas déterminée sur les griefs du recourant.</w:t>
      </w:r>
    </w:p>
    <w:p>
      <w:r>
        <w:rPr>
          <w:b/>
        </w:rPr>
        <w:t>E. 3</w:t>
      </w:r>
    </w:p>
    <w:p>
      <w:r>
        <w:t>Il résulte de ce qui précède que le recours doit être admis et l’ordonnance du 19 juillet 2023 annulée, le dossier de la cause étant renvoyé au Tribunal des mesures de contrainte pour qu’il examine si, à l’aune des nouveaux éléments invoqués par le recourant, il existe toujours de forts soupçons de commission d’un crime ou d’un délit et rende une décision dûment motivée dans les cinq jours dès la notification du présent arrêt. Le cas échéant, il se fera produire la vidéo mentionnée par le Ministère public dans ses déterminations du 14 août 2023, absente du dossier transmis à la Chambre de céans. Le recourant sera maintenu en détention jusqu’à droit connu sur la décision à intervenir (art. 388 al. 1 let. b CPP). Vu l’issue du recours, les frais de la procédure, constitués en l’espèce de l’émolument d’arrêt, par 1’320 fr. (art. 20 al. 1 TFIP [tarif des frais de procédure et indemnités en matière pénale du 28 septembre 2010 ; BLV 312.03.1]), et de l’indemnité due au défenseur d'office (art. 422 al. 1 et 2 let. a CPP), fixée à 720 fr. sur la base d’une durée d’activité nécessaire d’avocat estimée à 4h00, pour la rédaction du recours et des déterminations du 17 août 2023, au tarif horaire de 180 fr., auxquels il convient d’ajouter des débours forfaitaires à concurrence de 2 % (art. 3bis al. 1 RAJ [règlement sur l’assistance judiciaire en matière civile du 7 décembre 2010 ; BLV 211.02.3], applicable par renvoi de l’art. 26b TFIP), par 14 fr. 40, et la TVA, par 56 fr. 55, soit à 791 fr. au total, en chiffres arrondis, seront laissés à la charge de l’Etat. Par ces motifs, la Chambre des recours pénale prononce : I. Le recours est admis. II. L’ordonnance du 19 juillet 2023 est annulée. III. Le dossier de la cause est renvoyé au Tribunal des mesures de contrainte pour qu’il rende une nouvelle décision motivée dans un délai de cinq jours dès la notification du présent arrêt. IV. H.________ est maintenu en détention jusqu’à la reddition de cette nouvelle décision. V. L’indemnité allouée au défenseur d’office de H.________ est fixée à 791 fr. (sept cent nonante et un francs). VI. Les frais d’arrêt, par 1’320 fr. (mille trois cent vingt francs), ainsi que l’indemnité due au défenseur d’office de H.________, par 791 fr. (sept cent nonante et un francs), sont laissés à la charge de l’Etat. VII. L’arrêt est exécutoire. La présidente :               Le greffier : Du Le présent arrêt, dont la rédaction a été approuvée à huis clos, est notifié, par l'envoi d'une copie complète, à : - Me Laurent Roulier, avocat (pour H.________), - Ministère public central, et communiqué à : ‑ Mme la Présidente du Tribunal des mesures de contrainte, - Mme la Procureure de l’arrondissement de La Côte, - M. S.________, - M. [...], - M.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