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649 vom 27. Juli 2023</w:t>
      </w:r>
    </w:p>
    <w:p>
      <w:r>
        <w:t>VD Tribunal cantonal, 2023-07-27, FR</w:t>
      </w:r>
    </w:p>
    <w:p>
      <w:r>
        <w:rPr>
          <w:b/>
        </w:rPr>
        <w:t xml:space="preserve">Quelle: </w:t>
      </w:r>
      <w:r>
        <w:t>https://mcp.opencaselaw.ch/entscheid/vd_findinfo_D_cision___2023___649</w:t>
      </w:r>
    </w:p>
    <w:p>
      <w:r>
        <w:t>FR: VD_FINDINFO Décision / 2023 / 649 du 27 juillet 2023</w:t>
      </w:r>
    </w:p>
    <w:p>
      <w:r>
        <w:t>IT: VD_FINDINFO Décision / 2023 / 649 del 27 luglio 2023</w:t>
      </w:r>
    </w:p>
    <w:p>
      <w:pPr>
        <w:pStyle w:val="Heading2"/>
      </w:pPr>
      <w:r>
        <w:t>Regeste</w:t>
      </w:r>
    </w:p>
    <w:p>
      <w:r>
        <w:t>JONCTION DE CAUSES, ADMISSION DE LA DEMANDE, DROIT D'ÊTRE ENTENDU | 29 al. 2 Cst., 29 al. 1 CPP (CH), 30 CPP (CH)</w:t>
      </w:r>
    </w:p>
    <w:p>
      <w:pPr>
        <w:pStyle w:val="Heading2"/>
      </w:pPr>
      <w:r>
        <w:t>Erwägungen</w:t>
      </w:r>
    </w:p>
    <w:p>
      <w:r>
        <w:rPr>
          <w:b/>
        </w:rPr>
        <w:t>E. 1.1</w:t>
      </w:r>
    </w:p>
    <w:p>
      <w:r>
        <w:t>Une ordonnance par laquelle le Ministère public ordonne la jonction ou la disjonction de procédures pénales (art. 30 CPP [Code de procédure pénale suisse du 5 octobre 2007 ; RS 312.0]) est susceptible d’un recours au sens des art. 393 ss CPP (CREP 1 er juin 2023/451 consid. 1.1 ; Stephenson/Thiriet, in : Niggli/Heer/Wiprächtiger [éd.], Basler Kommentar, Schweizerische Strafprozessordnung, Jugendstrafprozessordnung, 2 e éd., Bâle 2014,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art. 80 LOJV [Loi vaudoise du 12 décembre 1979 d’organisation judiciaire; BLV 173.01]).</w:t>
      </w:r>
    </w:p>
    <w:p>
      <w:r>
        <w:rPr>
          <w:b/>
        </w:rPr>
        <w:t>E. 1.2</w:t>
      </w:r>
    </w:p>
    <w:p>
      <w:r>
        <w:t>En l’espèce, interjeté dans le délai légal auprès de l’autorité compétente par le prévenu, qui a qualité pour recourir (art. 382 al. 1 CPP), et satisfaisant aux conditions de forme posées par l’art 385 al. 1 CPP, le recours est recevable.</w:t>
      </w:r>
    </w:p>
    <w:p>
      <w:r>
        <w:rPr>
          <w:b/>
        </w:rPr>
        <w:t>E. 2</w:t>
      </w:r>
    </w:p>
    <w:p>
      <w:r>
        <w:t>e éd., Bâle 2019, n. 3 ad art. 30 CPP). Cet auteur cite à titre d'exemple la situation où des plaideurs s'accusent réciproquement d'infractions commises dans le cadre du même conflit qui les oppose (op. et loc. cit.) ; Moreillon et Parein-Reymond reprennent à leur compte cet exemple, en usant cependant de la forme conditionnelle (op. cit., n. 4 ad art. 30 CPP).</w:t>
      </w:r>
    </w:p>
    <w:p>
      <w:r>
        <w:rPr>
          <w:b/>
        </w:rPr>
        <w:t>E. 2.1</w:t>
      </w:r>
    </w:p>
    <w:p>
      <w:r>
        <w:t>Le recourant invoque que les deux causes sont indépendantes l’une de l’autre et que ce n’est que par coïncidence que les faits qui y ont donné lieu sont survenus le même jour.</w:t>
      </w:r>
    </w:p>
    <w:p>
      <w:r>
        <w:rPr>
          <w:b/>
        </w:rPr>
        <w:t>E. 2.2.1</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découle de l'art. 49 CP (Code pénal suisse du 21 décembre 1937 ; RS 311.0) qui veut que les infractions commises en concours soient réprimées dans un seul et même jugement et qu'un seul juge se prononce sur l'ensemble des faits reprochés au prévenu. Cette solution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p. 219 ; ATF 138 IV 29 consid. 3.2 p. 31 ; TF 1B_580/2021 du 10 mars 2022 consid. 2.1 et les arrêts cités). Le Tribunal fédéral a en effet relevé le caractère problématique, du point de vue du droit à un procès équitable garanti aux art. 29 al. 1 Cst. et 6 par. 1 CEDH (Convention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(ATF 134 IV 328 consid. 3.3 p. 334 ; ATF 116 Ia 305 consid. 4b p. 312 ss ; TF 1B_516/2022 du 9 mars 2023 consid. 2.1 ; TF 6B_655/2022 du 31 août 2022 consid. 1.1). L'art. 30 CPP autorise des exceptions au principe de l'unité de la procédure prévu par l'art. 29 al. 1 let. a CPP, aux termes duquel les infractions sont poursuivies et jugées conjointement lorsqu'un prévenu a commis plusieurs infractions, ce qui recoupe les notions de concours idéal et réel. Même dans ces cas, certains impératifs l'emportent sur l'intérêt du prévenu : ainsi le risque que certains faits soient couverts par la prescription, ou en cas de pluralité de prévenus, que l'enquête soit retardée (Moreillon/Parein-Reymond, Code de procédure pénale, Petit commentaire, 2 e éd., Bâle 2016, n. 4 ad art. 29 CPP). La possibilité de rendre des jugements séparés peut également s'imposer lorsque, notamment, le principe de la célérité pourrait être violé. Il en va ainsi notamment en cas de découverte tardive de coauteurs ou de complices, en présence de nouvelles infractions alors que le prévenu est en voie d'être jugé (Moreillon/Parein-Reymond, op. cit., n. 11 ad art. 29 CPP et l'auteur cité). La faculté offerte par l'art. 30 CPP d'ordonner la jonction de plusieurs procédures s'entend en quelque sorte comme une extension du principe d'unité à d'autres situations que celles visées à l'art. 29 CPP. En dehors des hypothèses expressément prévues par la loi (cf. art. 26 al. 2, 31 al. 3, 33 ou 34 al. 1 CPP) où une jonction s'impose, les autres situations sont plus difficiles à imaginer (Bouverat, Commentaire romand, Code de procédure pénale suisse,</w:t>
      </w:r>
    </w:p>
    <w:p>
      <w:r>
        <w:rPr>
          <w:b/>
        </w:rPr>
        <w:t>E. 2.2.2</w:t>
      </w:r>
    </w:p>
    <w:p>
      <w:r>
        <w:t>Le droit d’être entendu, tel qu’il est garanti par les art. 29 al. 2 Cst. et</w:t>
      </w:r>
    </w:p>
    <w:p>
      <w:r>
        <w:rPr>
          <w:b/>
        </w:rPr>
        <w:t>E. 2.3</w:t>
      </w:r>
    </w:p>
    <w:p>
      <w:r>
        <w:t>En l’espèce, pour toute motivation, l’ordonnance attaquée indique que les causes seraient connexes, ce qui n’apparaît pas d’emblée évident compte tenu des faits reprochés au prévenu. Cela étant, l’art. 30 CPP conditionne la jonction de procédures à l’existence de « raisons objectives », ce que le Ministère public n’expose pas dans son ordonnance, ni dans ses déterminations. La seule mention de cette disposition n’est pas suffisante pour permettre au recourant de comprendre le raisonnement suivi par le Ministère public, si bien que son droit d’être entendu, plus particulièrement son droit à une décision motivée, a été violé. Même si l’autorité de recours dispose d’un plein pouvoir d’examen (art. 391 al. 1 CPP), la violation du droit d’être entendu du recourant ne peut pas être réparé en l’espèce. En effet, le Ministère public n’a pas fourni de motivation dans le délai qui lui a été imparti. En outre, il ressort du dossier de la cause que le seul élément reliant les deux procédures jointes par le Ministère public est la personne du prévenu. De plus, aucune des procédures n’a été instrumentée au-delà des premières opérations. Il est ainsi trop tôt pour évaluer si une jonction de causes est opportune ou si elle risque au contraire d’entraîner une violation du principe de célérité en ralentissant inutilement l’une des procédures. La jonction de causes n’apparaît pas évidente à ce stade, aucune raison objective ne justifiant de conduire les deux procédures conjointement en l’état, hormis la personne du recourant.</w:t>
      </w:r>
    </w:p>
    <w:p>
      <w:r>
        <w:rPr>
          <w:b/>
        </w:rPr>
        <w:t>E. 3</w:t>
      </w:r>
    </w:p>
    <w:p>
      <w:r>
        <w:t>Au vu de ce qui précède, le recours de Z.________ doit être admis et l’ordonnance du 12 juin 2023 annulée. Vu l’admission du recours, les frais de la procédure de recours, constitués en l’espèce du seul émolument d’arrêt (art. 422 al. 1 CPP), par 660 fr. (art. 20 al. 1 TFIP [Tarif des frais de procédure et indemnités en matière pénale du 28 septembre 2010 ; BLV 312.03.1]), seront laissés à la charge de l’Etat (art. 428 al.</w:t>
      </w:r>
    </w:p>
    <w:p>
      <w:r>
        <w:rPr>
          <w:b/>
        </w:rPr>
        <w:t>E. 4</w:t>
      </w:r>
    </w:p>
    <w:p>
      <w:r>
        <w:t>CPP). Par ces motifs, la Chambre des recours pénale prononce : I. Le recours est admis. II. L’ordonnance du 12 juin 2023 est annulée. III. Les frais d’arrêt, par 660 fr. (six cent soixante francs), sont laissés à la charge de l’Etat. IV. L’arrêt est exécutoire. La présidente :              Le greffier : Du Le présent arrêt, dont la rédaction a été approuvée à huis clos, est notifié, par l'envoi d'une copie complète, à : - Z.________, - Ministère public central, et communiqué à : ‑ M. le Procureur cantonal Strada, -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