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639 vom 8. August 2023</w:t>
      </w:r>
    </w:p>
    <w:p>
      <w:r>
        <w:t>VD Tribunal cantonal, 2023-08-08, FR</w:t>
      </w:r>
    </w:p>
    <w:p>
      <w:r>
        <w:rPr>
          <w:b/>
        </w:rPr>
        <w:t xml:space="preserve">Quelle: </w:t>
      </w:r>
      <w:r>
        <w:t>https://mcp.opencaselaw.ch/entscheid/vd_findinfo_D_cision___2023___639</w:t>
      </w:r>
    </w:p>
    <w:p>
      <w:r>
        <w:t>FR: VD_FINDINFO Décision / 2023 / 639 du 8 août 2023</w:t>
      </w:r>
    </w:p>
    <w:p>
      <w:r>
        <w:t>IT: VD_FINDINFO Décision / 2023 / 639 del 8 agosto 2023</w:t>
      </w:r>
    </w:p>
    <w:p>
      <w:pPr>
        <w:pStyle w:val="Heading2"/>
      </w:pPr>
      <w:r>
        <w:t>Regeste</w:t>
      </w:r>
    </w:p>
    <w:p>
      <w:r>
        <w:t>RISQUE DE FUITE, RISQUE DE RÉCIDIVE, DÉTENTION PROVISOIRE, PROLONGATION, MESURE DE SUBSTITUTION À LA DÉTENTION, PROPORTIONNALITÉ, SOUPÇON | 212 al. 3 CPP (CH), 221 al. 1 let. a CPP (CH), 221 al. 1 let. c CPP (CH), 227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A l’expiration de la durée de la détention provisoire fixée par le tribunal des mesures de contrainte, le ministère public peut demander la prolongation de la détention (art. 227 al. 1 CPP).</w:t>
      </w:r>
    </w:p>
    <w:p>
      <w:r>
        <w:rPr>
          <w:b/>
        </w:rPr>
        <w:t>E. 3.1</w:t>
      </w:r>
    </w:p>
    <w:p>
      <w:r>
        <w:t>Le recourant conteste l’existence de soupçons suffisants de commission d’infractions. Il soutient qu’après investigations policières, aucun élément ne permettrait de corroborer les dires des plaignants. En outre, l’extraction des données de ses deux téléphones portables permettrait d’exclure l’existence de tout contenu illicite. Enfin, il n’y aurait pas lieu de douter de ses déclarations selon lesquelles il aurait effectué des recherches sur le thème des investigations policières, raison pour laquelle il aurait introduit les critères de recherche litigieux et non pour avoir accès à du contenu illicite.</w:t>
      </w:r>
    </w:p>
    <w:p>
      <w:r>
        <w:rPr>
          <w:b/>
        </w:rPr>
        <w:t>E. 3.2</w:t>
      </w:r>
    </w:p>
    <w:p>
      <w:r>
        <w:t>La mise en détention provisoire n'est possible que s'il existe à l'égard de l'auteur présumé, et préalablement à toute autre cause, de graves soupçons d'avoir commis un crime ou un délit (ATF 139 IV 186 consid. 2 ; Chaix, in : Jeanneret et al. [éd.], Commentaire romand, Code de procédure pénale suisse, 2e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1B_88/2022 du 29 mars 2022 consid. 2.1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1B_572/2021 du 5 novembre 2021 consid. 2.1 et les références citées).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139 consid. 2.1 ; ATF 137 IV 122 consid. 3.2 ; ATF 124 I 208 consid. 3 ; TF 1B_581/2022 du 1er décembre 2022 consid. 2.1.2 ; Forster, in : Niggli et. al. [éd.], Basler Kommentar, Schweizerische Strafprozessordnung, 2e éd., Bâle 2014, n. 3 ad art. 221 CPP).</w:t>
      </w:r>
    </w:p>
    <w:p>
      <w:r>
        <w:rPr>
          <w:b/>
        </w:rPr>
        <w:t>E. 3.3</w:t>
      </w:r>
    </w:p>
    <w:p>
      <w:r>
        <w:t>En l’espèce, la condition relative à l’existence de forts soupçons de commission d’infractions est réalisée. Pour ce qui est de l’infraction de contrainte et de l’infraction à l’interdiction de contact ou à l’interdiction géographique, ces soupçons reposent non seulement sur les déclarations des plaignants, qui ont décrit les différents épisodes de manière précise, complète et détaillée, mais aussi et surtout sur les antécédents du recourant pour des faits similaires commis sur les enfants des plaignants, ainsi que sur les réguliers signalements effectués auprès de la police (cf. P. 8 et 9). S’agissant plus particulièrement des antécédents du prévenu, celui-ci a été condamné par jugement rendu le 16 décembre 2022 par le Tribunal correctionnel de l’arrondissement de l’Est vaudois notamment pour contrainte. Si un appel a été déposé par le prévenu contre ce jugement, il ne concerne toutefois pas cette infraction, ni l’interdiction qui lui a été faite, pour une durée de cinq ans, de prendre contact avec B.T.________ et E.T.________, ou de s’approcher à moins de 200 mètres de leur domicile (cf. chiffre X du dispositif du jugement précité). Ainsi, tant la condamnation pour contrainte que l’interdiction de contact et de périmètre sont exécutoires. On peut par conséquent en tenir compte sans violer la présomption d’innocence. A cet égard, le Tribunal correctionnel avait retenu les éléments suivants : le prévenu avait tenté d’entrer en contact à réitérées reprises avec les fillettes B.T.________ et E.T.________, âgées à l’époque de 4 et 6 ans, soit de jeunes enfants, entraînant chez celles-ci, en particulier chez B.T.________, un grand sentiment d’anxiété et une peur de jouer à la place de jeux, soit un endroit dans lequel elles auraient dû se sentir en sécurité ; le prévenu avait par ailleurs escaladé, à torse nu, le rebord de la fenêtre des filles, ce qui pouvait laisser penser aux fillettes qu’il tentait de les observer dans leur chambre ; un tel comportement était de nature à alarmer de jeunes enfants ; le prévenu avait lui-même admis avoir continué à se rendre à la place de jeux pour jouer avec les filles, alors que les parents de celles-ci l’avaient enjoint de ne pas le faire et qu’un policier l’avait appelé pour lui rappeler de prendre ses distances ; il avait continué à passer devant chez les plaignants, alors qu’il lui avait été fait interdiction de le faire ; alors qu’il avait été enjoint de ne plus s’approcher des filles, le prévenu avait persisté dans ses agissements ; ni les parents ni la justice n’avaient été en mesure de l’arrêter, ce qui était propre à faire naître un grave sentiment d’insécurité, en particulier chez de jeunes enfants ; B.T.________ avait d’ailleurs dû consulter un spécialiste durant une période. L’ensemble des éléments précités retenus par le Tribunal correctionnel rendent peu crédibles les dénégations du recourant. Il sied encore de rappeler que celui-ci a été condamné le 24 mai 2019 par le Ministère public de l’arrondissement de l’Est vaudois pour voies de fait et contrainte, notamment pour avoir harcelé son ex-compagne, à savoir pour lui avoir envoyé plus de 200 messages en 14 jours, l’avoir appelée à de nombreuses reprises de jour comme de nuit, s’être rendu aux abords de son domicile, avoir déposé des missives dans sa boîte aux lettres et des fleurs devant sa porte, s’être rendu à de multiples reprises en des lieux qu’il savait se trouver sur les trajets quotidiens de son ex-compagne et l’avoir suivie. A cela s’ajoute que, dans leur rapport du 20 avril 2022, les experts psychiatriques ont relevé que, lorsque le prévenu était confronté à des refus, des limites ou des événements qui ne se déroulaient pas comme il pourrait le souhaiter et qu’il ne comprenait pas, alors il semblait avoir tendance à insister toujours d’avantage, ce qui rend la version des plaignants encore plus crédible. Enfin, il existe des indices suffisamment sérieux que W.________ ait commis l’infraction de pornographie, à tout le moins sous la forme d’une tentative, au vu des termes utilisés pour effectuer des recherches sur Internet, soit « child porn », « darkweb », « adolescents », « teasing » et « teen », du diagnostic posé par les experts, soit une possible paraphilie de type pédophilique, et des antécédents du recourant. A cet égard, on relèvera qu’il a déjà été condamné pour pornographie par le jugement précité du 16 décembre 2022, notamment pour avoir consulté de nombreux fichiers, vidéos et photographies à caractère pédopornographique. Cette infraction n’est pas contestée dans le cadre de l’appel qu’il a formé contre ce jugement, de sorte que sa condamnation pour pornographie est exécutoire et qu’on peut en tenir compte sans violer la présomption d’innocence. Dans ces conditions, la thèse du recourant, selon laquelle il aurait effectué des recherches sur le thème des investigations policières, apparaît peu crédible, voire farfelue. Au vu de l’ensemble des éléments qui précèdent, la première condition de l’art. 221 al. 1 CPP demeure réalisée.</w:t>
      </w:r>
    </w:p>
    <w:p>
      <w:r>
        <w:rPr>
          <w:b/>
        </w:rPr>
        <w:t>E. 4.1</w:t>
      </w:r>
    </w:p>
    <w:p>
      <w:r>
        <w:t>Le recourant conteste l’existence d’un risque de fuite. Il soutient qu’il n’aurait jamais tenté d’échapper à la justice, qu’étant en possession de la nationalité suisse, il n’aurait jamais manifesté de quelque manière que ce soit l’intention de modifier son lieu de vie, soit Vevey, rappelant qu’il était à la recherche d’un logement avant sa mise en détention. Il n’aurait jamais non plus manifesté sa moindre intention de retourner aux Etats-Unis.</w:t>
      </w:r>
    </w:p>
    <w:p>
      <w:r>
        <w:rPr>
          <w:b/>
        </w:rPr>
        <w:t>E. 4.2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Le risque de fuite s'étend également au risque de se soustraire à la procédure pénale ou à la sanction prévisible en tombant dans la clandestinité à l'intérieur du pays (ATF 143 IV 160 consid. 4.3).</w:t>
      </w:r>
    </w:p>
    <w:p>
      <w:r>
        <w:rPr>
          <w:b/>
        </w:rPr>
        <w:t>E. 4.3</w:t>
      </w:r>
    </w:p>
    <w:p>
      <w:r>
        <w:t>En l’espèce, le recourant est un ressortissant suisse et américain. Il a vécu aux Etats-Unis jusqu’en 2018. Il y a ainsi suivi toute sa scolarité, y a suivi des formations et y a travaillé pendant plusieurs années. Ses parents vivent toujours dans ce pays (PV aud. du 21.03.23, l. 38 et ss et jugement du Tribunal correctionnel de l’arrondissement de l’Est vaudois du 16 décembre 2022, p. 32). Par ailleurs, il vit en Suisse grâce à l’aide sociale et était en recherche d’un logement avant sa mise en détention. Il n’est donc pas particulièrement bien intégré en Suisse. Dans ces conditions, au regard des charges qui pèsent sur lui et de la peine à laquelle il s’expose, on peut effectivement craindre que le prévenu prenne la fuite pour se rendre aux Etats-Unis ou dans un autre pays ou qu'il tombe dans la clandestinité pour échapper aux poursuites pénales dont il fait l’objet. L’existence d’un risque de fuite justifie donc le maintien en détention provisoire du recourant.</w:t>
      </w:r>
    </w:p>
    <w:p>
      <w:r>
        <w:rPr>
          <w:b/>
        </w:rPr>
        <w:t>E. 5.1</w:t>
      </w:r>
    </w:p>
    <w:p>
      <w:r>
        <w:t>Le recourant conteste l’existence d’un risque de réitération. Il soutient que ce prétendu risque serait utilisé uniquement pour obtenir le délai nécessaire à la reddition du rapport d’expertise complémentaire. Il soutient en outre que le risque de récidive serait d’autant moins concret qu’il avait accepté de se soumettre volontairement à un suivi psychologique ambulatoire avant sa mise en détention.</w:t>
      </w:r>
    </w:p>
    <w:p>
      <w:r>
        <w:rPr>
          <w:b/>
        </w:rPr>
        <w:t>E. 5.2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ATF 143 IV 9 consid. 2.5). La gravité de l'infraction dépend, outre de la peine menace prévue par la loi, de la nature du bien juridique menacé et du contexte, notamment de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146 IV 326 consid. 3.1 ;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 ATF 143 IV 9 consid. 2.8 et les références citées). Le risque de récidive peut également se fonder sur les infractions faisant l'objet de la procédure pénale en cours, si le prévenu est fortement soupçonné – avec une probabilité confinant à la certitude – de les avoir commises (ATF 146 IV 326 consid. 3.1 ; ATF 143 IV 9 consid. 2.3.1).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consid. 3.1 ; TF 1B_530/2022 du 4 novembre 2022 consid. 3.1).</w:t>
      </w:r>
    </w:p>
    <w:p>
      <w:r>
        <w:rPr>
          <w:b/>
        </w:rPr>
        <w:t>E. 5.3</w:t>
      </w:r>
    </w:p>
    <w:p>
      <w:r>
        <w:t>En l’espèce, on rappellera d’abord les deux condamnations du prévenu pour contrainte, pour avoir harcelé son ex-compagne, d’une part, et les enfants des plaignants, d’autre part, ainsi que sa condamnation pour pornographie. Par ailleurs, les experts, dans leur rapport d’expertise psychiatrique du 20 avril 2022 (P. 30), dont les conclusions ont été confirmées dans le rapport d’expertise complémentaire du 17 juillet 2023, ont posé les diagnostics de limitation de l’efficience intellectuelle et de possible paraphilie de type pédophilique. Ils ont en outre conclu que le risque de récidive d’infractions à caractère sexuel, ainsi que le risque de récidive d’actes de violence, étaient modérés à élevés. Lors de son audition par le procureur du 23 mars 2023, le recourant a été formellement mis en garde que, s’il devait continuer à suivre les plaignants et/ou leurs filles, sa mise en détention provisoire serait requise. Ainsi, ni ses précédentes condamnations, ni les mois de détention avant jugement subis, ni la possible révocation du sursis partiel qui lui a été accordé par jugement du 16 décembre 2023, ni la procédure pénale en cours ensuite de l’appel qu’il a déposé, ni l’avertissement formel du Ministère public, n’ont amené le prévenu à se remettre en question. Il ne mesure manifestement pas l’impact sur autrui que peut avoir son comportement, en particulier sur le bon développement d’enfants, et ne fait preuve d’aucun amendement. Au vu de l’ensemble de ces éléments, il est hautement à craindre qu’il réitère ses agissements délictueux en cas de libération, que ce soit en recherchant du matériel pédopornographique ou en harcelant des membres de la famille [...]. Le pronostic est clairement défavorable. A cela s'ajoute que les actes reprochés au recourant sont suffisamment graves pour qu’on puisse redouter qu’il les réitère. Le risque de récidive est donc concret et justifie le maintien du recourant en détention provisoire.</w:t>
      </w:r>
    </w:p>
    <w:p>
      <w:r>
        <w:rPr>
          <w:b/>
        </w:rPr>
        <w:t>E. 6.1</w:t>
      </w:r>
    </w:p>
    <w:p>
      <w:r>
        <w:t>Le recourant soutient que des mesures de substitution, soit l’obligation de se soumettre à un suivi psychothérapeutique régulier auprès d’un psychiatre ou d’un psychologue, le thérapeute étant tenu de signaler immédiatement tout rendez-vous manqué et toute interruption de traitement, et l’obligation de déposer ses documents d’identité et de résider en Suisse à une adresse qui devra être communiquée à l’autorité, seraient susceptibles de pallier les risques retenus.</w:t>
      </w:r>
    </w:p>
    <w:p>
      <w:r>
        <w:rPr>
          <w:b/>
        </w:rPr>
        <w:t>E. 6.2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op. cit., n. 2 ad art. 237 CPP). L’art. 237 al. 3 CPP précise que, pour surveiller l’exécution de ces mesures, le tribunal peut ordonner l’utilisation d’appareils techniques qui peuvent être fixés à la personne sous surveillance.</w:t>
      </w:r>
    </w:p>
    <w:p>
      <w:r>
        <w:rPr>
          <w:b/>
        </w:rPr>
        <w:t>E. 6.3</w:t>
      </w:r>
    </w:p>
    <w:p>
      <w:r>
        <w:t>En l’espèce, la mise en œuvre des mesures de substitution proposées n’est pas propre à pallier les risques retenus. Concernant le suivi psychothérapeutique, il n’est pas de nature à pallier le risque de fuite et il n’apparaît pas suffisant pour parer au risque de réitération. En effet, les experts, dans leur rapport du 20 avril 2022, ont indiqué ce qui suit : « médicalement, il serait ainsi indiqué, sur un plan théorique, que l'expertisé puisse bénéficier d'un suivi psychothérapeutique. Il semble cependant probable qu'un suivi ambulatoire soit voué à l'échec. En effet, Monsieur W.________ réfute l'idée de présenter des difficultés, et un tel suivi lui a déjà été proposé par le passé (qu'il a stoppé de lui-même). Relevons également la limitation de l'efficience intellectuelle que présente l'expertisé qui serait susceptible de réduire l'efficacité d'un tel traitement, de même que la question de ses difficultés d'apprentissage de la langue française qui pourraient également représenter un frein à sa progression ». On ne peut d’ailleurs que constater que le fait d’avoir entamé un suivi auprès du psychologue et psychothérapeute [...], comme il l’a fait valoir, n’a pas empêché le recourant de réitérer ses agissements délictueux. En outre, la saisie des documents d’identité du recourant ne permet pas de pallier le risque de fuite retenu, certaines frontières pouvant être franchies rapidement et sans document d’identité. Elle n’est en outre d’aucune utilité pour parer au risque de récidive. Enfin, on ne voit pas quelle autre mesure pourrait parer aux deux risques retenus.</w:t>
      </w:r>
    </w:p>
    <w:p>
      <w:r>
        <w:rPr>
          <w:b/>
        </w:rPr>
        <w:t>E. 7.1</w:t>
      </w:r>
    </w:p>
    <w:p>
      <w:r>
        <w:t>Le recourant invoque une violation du principe de la proportionnalité. Il soutient que la durée de la prolongation de la détention provisoire serait devenue manifestement excessive.</w:t>
      </w:r>
    </w:p>
    <w:p>
      <w:r>
        <w:rPr>
          <w:b/>
        </w:rPr>
        <w:t>E. 7.2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w:t>
      </w:r>
    </w:p>
    <w:p>
      <w:r>
        <w:rPr>
          <w:b/>
        </w:rPr>
        <w:t>E. 7.3</w:t>
      </w:r>
    </w:p>
    <w:p>
      <w:r>
        <w:t>En l’espèce, le recourant est détenu depuis le 9 mai 2023, soit depuis environ trois mois. La durée de sa détention a été prolongée jusqu’au 7 septembre 2023. Compte tenu des faits qui sont reprochés au recourant et de leur caractère répétitif, de sa culpabilité au vu des circonstances, étant précisé que sa responsabilité pénale est pleine et entière selon les experts, de ses antécédents, du fait que la contrainte et l’infraction à l’interdiction de contact ou à l’interdiction géographique sont des délits passibles d’une peine privative de liberté de trois ans au plus, respectivement d’un an au plus, et du fait que le recourant risque en outre la révocation du sursis partiel à l’exécution de sa peine portant sur 12 mois, qui lui a été accordé par le Tribunal correctionnel de l’arrondissement de l’Est vaudois le 16 décembre 2022, celui-ci s'expose à une peine privative de liberté d’une durée supérieure à celle de la détention subie à ce jour, et à subir jusqu’au 7 septembre 2023. Le principe de la proportionnalité est donc respecté.</w:t>
      </w:r>
    </w:p>
    <w:p>
      <w:r>
        <w:rPr>
          <w:b/>
        </w:rPr>
        <w:t>E. 8</w:t>
      </w:r>
    </w:p>
    <w:p>
      <w:r>
        <w:t>En définitive, le recours doit être rejeté et l’ordonnance attaquée confirmée. Compte tenu de la nature de l’affaire et de l’acte de recours déposé, l’indemnité allouée au défenseur d’office de W.________ sera fixée à 720 fr., correspondant à une activité nécessaire d’avocat de quatre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14 fr. 40, et la TVA au taux de 7,7 %, par 56 fr. 55, soit à 791 fr. au total en chiffres arrondis. Vu le sort du recours, les frais de la procédure, constitués en l’espèce de l’émolument d'arrêt, par 1’870 fr. (art. 20 al. 1 TFIP), et des frais imputables à la défense d’office de W.________ (art. 422 al. 1 et 2 let. a CPP), fixés à 791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6 juillet 2023 est confirmée. III. L’indemnité allouée au défenseur d’office de W.________ est fixée à 791 fr. (sept cent nonante et un francs). IV. Les frais d’arrêt, par 1'870 fr. (mille huit cent septante francs), ainsi que l’indemnité due au défenseur d’office du recourant, par 791 fr. (sept cent nonante et un francs), sont mis à la charge de W.________. V. Le remboursement à l’Etat de l’indemnité allouée au chiffre III ci-dessus ne sera exigible que pour autant que la situation financière de W.________ le permette. VI. L’arrêt est exécutoire. La présidente :               La greffière : Du Le présent arrêt, dont la rédaction a été approuvée à huis clos, est notifié, par l'envoi d'une copie complète, à : - Sébastien Friant, avocat (pour W.________), - Ministère public central ;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