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609 vom 2. August 2023</w:t>
      </w:r>
    </w:p>
    <w:p>
      <w:r>
        <w:t>VD Tribunal cantonal, 2023-08-02, FR</w:t>
      </w:r>
    </w:p>
    <w:p>
      <w:r>
        <w:rPr>
          <w:b/>
        </w:rPr>
        <w:t xml:space="preserve">Quelle: </w:t>
      </w:r>
      <w:r>
        <w:t>https://mcp.opencaselaw.ch/entscheid/vd_findinfo_D_cision___2023___609</w:t>
      </w:r>
    </w:p>
    <w:p>
      <w:r>
        <w:t>FR: VD_FINDINFO Décision / 2023 / 609 du 2 août 2023</w:t>
      </w:r>
    </w:p>
    <w:p>
      <w:r>
        <w:t>IT: VD_FINDINFO Décision / 2023 / 609 del 2 agosto 2023</w:t>
      </w:r>
    </w:p>
    <w:p>
      <w:pPr>
        <w:pStyle w:val="Heading2"/>
      </w:pPr>
      <w:r>
        <w:t>Regeste</w:t>
      </w:r>
    </w:p>
    <w:p>
      <w:r>
        <w:t>DÉTENTION PROVISOIRE, RISQUE DE RÉCIDIVE, PROLONGATION |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auprès de l’autorité compétente (art. 13 al. 1 LVCPP [Loi d’introduction du Code de procédure pénale suisse du 19 mai 2009 ; BLV 312.01] ; art. 80 al. 1 let. c LOJV [Loi d’organisation judiciaire du 12 décembre 1979 ; BLV 173.01]), le recours de K.________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w:t>
      </w:r>
    </w:p>
    <w:p>
      <w:r>
        <w:rPr>
          <w:b/>
        </w:rPr>
        <w:t>E. 3.1</w:t>
      </w:r>
    </w:p>
    <w:p>
      <w:r>
        <w:t>Le recourant s’en est remis à justice s’agissant de l’existence de sérieux soupçons de culpabilité tout en invoquant divers arguments pour contester la qualification de tentative de meurtre attribuée aux faits. Il soutient que son comportement au moment des faits (faible vitesse du véhicule) n’était pas propre à causer la mort et que son comportement après l’accident démontrait qu’il n’avait jamais eu l’intention d’ôter la vie du plaignant.</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1B_139/2020 du 15 avril 2020 consid. 3.1).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1B_139/2020 du 15 avril 2020 consid. 3.1 et les arrêts cités).</w:t>
      </w:r>
    </w:p>
    <w:p>
      <w:r>
        <w:rPr>
          <w:b/>
        </w:rPr>
        <w:t>E. 3.3</w:t>
      </w:r>
    </w:p>
    <w:p>
      <w:r>
        <w:t>En l’espèce, c’est en vain que le recourant, tout en s’en remettant à justice sur l’existence de soupçons suffisants, invoque divers arguments pour en contester l’existence. En effet, dans ses précédentes ordonnances auxquelles il renvoie, le tribunal avait relevé que K.________ avait modifié ses déclarations à de nombreuses reprises. Par ailleurs, les éléments techniques recueillis au dossier avaient démontré que, contrairement à ce qu’il avait indiqué, aucun appel ne figurait dans le registre y relatif de son téléphone, ni aucune activité dans ses diverses applications. Il ressortait en outre du rapport d’investigation de la police du 14 décembre 2021 que le tapis de sol de la voiture utilisée par le recourant n’enfonçait nullement la pédale d’accélération et que le véhicule ne présentait pas d’autre défectuosité. Par ailleurs, le Tribunal fédéral, dans son arrêt du 4 janvier 2022 précité (consid. 3.2), a considéré qu’il existait depuis le stade initial de l’enquête un faisceau d’indices suffisant pour justifier le placement en détention provisoire, à savoir les témoignages recueillis sur place par la police selon lesquels le recourant, qui avait stationné sa voiture dans une contre-allée, l’avant en direction de la route, aurait démarré en trombe, sans motif apparent, pour aller délibérément heurter la victime. En outre, le recourant a admis être en conflit avec la victime (dont l’étude d’avocats était située à proximité du lieu des faits), contre laquelle il avait déposé plainte, précisant même avoir porté l’affaire devant la Cour européenne des droits de l’homme. Enfin, le recourant a donné plusieurs versions confuses et contradictoires sur les circonstances de sa présence dans la contre-allée et son affirmation selon laquelle il n’avait pas tout de suite reconnu la victime apparait peu crédible dans la mesure où celle-ci était son ex-avocat et son curateur. Enfin, l’extraction et l’analyse des données du téléphone portable de K.________ ont permis de démontrer qu’il s’était rendu quelques jours avant les faits à six reprises au moins dans le quartier de [...], soit à proximité de l’étude du plaignant, y restant parfois pendant plusieurs heures et qu’il avait fait des recherches au sujet du nom de son curateur et du mot « frein » (cf. P. 222/1 détaillée sous let. B.g) ci-dessus). Dans ces conditions, les soupçons retenus dans les arrêts de la Chambre des recours pénales des 5 novembre 2021, 31 octobre 2022, 7 février et 4 mai 2023 ainsi que dans les arrêts du Tribunal fédéral des 4 janvier et 23 décembre 2022 se sont renforcés. La première condition posée par l’art. 221 al. 1 CPP est ainsi manifestement remplie.</w:t>
      </w:r>
    </w:p>
    <w:p>
      <w:r>
        <w:rPr>
          <w:b/>
        </w:rPr>
        <w:t>E. 4.1</w:t>
      </w:r>
    </w:p>
    <w:p>
      <w:r>
        <w:t>Le recourant soutient que le risque de réitération ne repose sur aucun élément concret. Il se prévaut de l’absence d’antécédent judiciaire et soutient que l’infraction qui lui est reprochée relève de la négligence de sorte qu’on ne peut retenir un risque concret de récidive.</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Le risque de récidive peut se fonder sur les infractions faisant l’objet de la procédure pénale en cours, si le prévenu est fortement soupçonné de les avoir commises (ATF 143 IV 9 consid. 2.3.1 ; TF 1B_139/2023 du 5 avril 2023 consid. 3.1.1).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et les références).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1B_182/2020 du 4 mai 2020 consid. 5.1).</w:t>
      </w:r>
    </w:p>
    <w:p>
      <w:r>
        <w:rPr>
          <w:b/>
        </w:rPr>
        <w:t>E. 4.3</w:t>
      </w:r>
    </w:p>
    <w:p>
      <w:r>
        <w:t>En l’espèce, le Tribunal fédéral a déjà considéré en janvier 2022 que l’absence de condamnation du recourant pour des faits du même genre n’était pas déterminante pour renoncer à son maintien en détention (TF 1B_668/2021 précité, consid. 4.2). En effet, les infractions qui pourraient être retenues à sa charge sont très graves et la thèse de l’accident est peu crédible, de sorte qu’une extrême prudence se justifie toujours. Les conclusions de l’expertise psychiatrique du 5 septembre 2022 confirment en outre que ce risque est concret dans la mesure où le recourant souffre d’un grave trouble psychique, actuellement décompensé, impliquant un fort sentiment de persécution et une perte partielle de l’ancrage dans la réalité, qu’il est anosognosique de ses troubles psychiques, qu’il ne bénéficie d’aucun suivi ou traitement médicamenteux, ni soutien social, retenant un risque de récidive élevé pour des faits de même nature et que le risque de récidive pour des actes de même nature est élevé (P. 164, pp 16 à 24). A cela s’ajoute que lors de son audition du 29 juin 2023 par le Tribunal des mesures de contrainte, K.________ a déclaré qu’il était innocent, que la procédure pénale ouverte à son encontre était une « induction de la justice en erreur » fondée sur les déclarations calomnieuses de la victime qui cherchait à obtenir un enrichissement illégitime et que l’on cherchait à prouver sa culpabilité sur la base d’un « faux rapport médical », démontrant ainsi une absence totale de prise de conscience. Enfin, comme relevé ci-dessus, il ressort du rapport de police du 25 mai 2023 que le recourant a fait des recherches et des repérages avant les faits, ce qui contredit son assertion selon laquelle l’infraction relèverait de la négligence. Au vu de ce qui précède, il existe toujours un risque très sérieux que le recourant compromette à nouveau gravement la sécurité d’autrui.</w:t>
      </w:r>
    </w:p>
    <w:p>
      <w:r>
        <w:rPr>
          <w:b/>
        </w:rPr>
        <w:t>E. 5.1</w:t>
      </w:r>
    </w:p>
    <w:p>
      <w:r>
        <w:t>Le recourant estime que la prolongation de la détention est disproportionnée et conclut au prononcé de mesures de substitution à forme d’une assignation à résidence et d’une obligation de se soumettre à des contrôles médicaux hebdomadaires. Il soutient aussi que l’expertise n’indique pas que la « détention est obligatoire » et « qu’un traitement ambulatoire pourrait parfaitement être admis ».</w:t>
      </w:r>
    </w:p>
    <w:p>
      <w:r>
        <w:rPr>
          <w:b/>
        </w:rPr>
        <w:t>E. 5.2.1</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L'art. 237 al. 3 CPP précise que, pour surveiller l'exécution de ces mesures, le tribunal peut ordonner l'utilisation d'appareils techniques qui peuvent être fixés à la personne sous surveillance.</w:t>
      </w:r>
    </w:p>
    <w:p>
      <w:r>
        <w:rPr>
          <w:b/>
        </w:rPr>
        <w:t>E. 5.2.2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5.3</w:t>
      </w:r>
    </w:p>
    <w:p>
      <w:r>
        <w:t>En l’espèce, les éléments retenus par le Tribunal fédéral dans ses arrêts des 4 janvier 2022 (consid. 4.2) et 23 décembre 2022 (consid. 3.4), gardent toute leur actualité. Dans la mesure où le recourant souffre d’un grave trouble psychique, qu’il est anosognosique et que ce trouble psychique est en lien avec un risque élevé de récidive d’actes de même nature, il est évident qu’une assignation à résidence, qu’il pourrait enfreindre facilement, laisse subsister ce risque. Quant à l’obligation de se soumettre à des contrôles auprès d’un médecin, voire de suivre un traitement ambulatoire, on ne voit pas en quoi elle permettrait de réduire ce risque, et le recourant ne l’explique pas. Comme le rapport d’expertise psychiatrique préconise l’instauration, par le juge du fond, d’une mesure thérapeutique institutionnelle au sens de l’art. 59 CP, précédé d’un séjour dans un établissement de soins sécurisé afin de stabiliser le recourant, il est également évident que de simples contrôles hebdomadaires chez un médecin ou un traitement ambulatoire de son trouble mental à forme d’une mesure de l’art. 63 CP ne permettraient pas de réduire le danger de réitération de manière suffisante. Compte tenu des précédentes décisions rendues en la matière, l’argumentation du recourant est à la limite de la témérité. Enfin, au vu de la gravité des actes reprochés, la peine privative de liberté concrètement prévisible est largement supérieure à la détention que le recourant aura subi en date du 17 octobre 2023. Cette durée de trois mois apparaît en outre nécessaire pour permettre au Ministère public de clôturer l’instruction et de renvoyer le prévenu devant le tribunal compétent. Le principe de proportionnalité est dès lors encore respecté.</w:t>
      </w:r>
    </w:p>
    <w:p>
      <w:r>
        <w:rPr>
          <w:b/>
        </w:rPr>
        <w:t>E. 6</w:t>
      </w:r>
    </w:p>
    <w:p>
      <w:r>
        <w:t>Il résulte de ce qui précède que le recours, manifestement mal fondé, doit être rejeté sans échange d’écritures (art. 390 al. 2 CPP) et l’ordonnance attaquée confirmée. Au vu de la nature de l’affaire et du mémoire de recours produit, qui reprend pour l’essentiel des arguments précédemment invoqués, l’indemnité allouée au défenseur d’office de K.________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25, soit à 396 fr. au total en chiffres arrondis. Vu le sort du recours, les frais de la procédure, constitués en l’espèce de l’émolument d'arrêt, par 1’540 fr. (art. 20 al. 1 TFIP), et des frais imputables à la défense d’office de K.________ (art. 422 al. 1 et 2 let. a CPP), fixés à 396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13 juillet 2023 est confirmée. III. L’indemnité allouée au défenseur d’office de K.________ est fixée à 396 fr. (trois cent nonante-six francs) . IV. Les frais d’arrêt, par 1’540 fr. (mille cinq cent quarante francs), ainsi que l’indemnité due au défenseur d’office du recourant, par 396 fr. (trois cent nonante-six francs), sont mis à la charge de K.________. V. Le remboursement à l’Etat de l’indemnité allouée au chiffre III ci-dessus ne sera exigible que pour autant que la situation financière de K.________ le permette. VI. L’arrêt est exécutoire. La présidente :               La greffière : Du Le présent arrêt, dont la rédaction a été approuvée à huis clos, est notifié, par l'envoi d'une copie complète, à : - Me Jérôme Reymond, avocat (pour K.________), - Ministère public central, et communiqué à : ‑ Mme la Présidente du Tribunal des mesures de contrainte, - Mme la Procureure de l’arrondissement de Lausanne, - Me Miriam Mazou, avocate (pour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