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576 vom 18. Juli 2023</w:t>
      </w:r>
    </w:p>
    <w:p>
      <w:r>
        <w:t>VD Tribunal cantonal, 2023-07-18, FR</w:t>
      </w:r>
    </w:p>
    <w:p>
      <w:r>
        <w:rPr>
          <w:b/>
        </w:rPr>
        <w:t xml:space="preserve">Quelle: </w:t>
      </w:r>
      <w:r>
        <w:t>https://mcp.opencaselaw.ch/entscheid/vd_findinfo_D_cision___2023___576</w:t>
      </w:r>
    </w:p>
    <w:p>
      <w:r>
        <w:t>FR: VD_FINDINFO Décision / 2023 / 576 du 18 juillet 2023</w:t>
      </w:r>
    </w:p>
    <w:p>
      <w:r>
        <w:t>IT: VD_FINDINFO Décision / 2023 / 576 del 18 luglio 2023</w:t>
      </w:r>
    </w:p>
    <w:p>
      <w:pPr>
        <w:pStyle w:val="Heading2"/>
      </w:pPr>
      <w:r>
        <w:t>Regeste</w:t>
      </w:r>
    </w:p>
    <w:p>
      <w:r>
        <w:t>DÉTENTION PROVISOIRE, RISQUE DE RÉCIDIVE, PROPORTIONNALITÉ, MESURE DE SUBSTITUTION À LA DÉTENTION, REJET DE LA DEMANDE, PRINCIPE DE LA CÉLÉRITÉ | 212 al. 3 CPP (CH), 221 al. 1 let. c CPP (CH), 227 CPP (CH)</w:t>
      </w:r>
    </w:p>
    <w:p>
      <w:pPr>
        <w:pStyle w:val="Heading2"/>
      </w:pPr>
      <w:r>
        <w:t>Erwägungen</w:t>
      </w:r>
    </w:p>
    <w:p>
      <w:r>
        <w:rPr>
          <w:b/>
        </w:rPr>
        <w:t>E. 5</w:t>
      </w:r>
    </w:p>
    <w:p>
      <w:r>
        <w:t>Le recourant conteste ensuite, dans sa motivation, l’appréciation de l’autorité inférieure selon laquelle aucune mesure de substitution ne permettrait de pallier le risque de réitération retenu. Il fait état de sa volonté d’aller vivre chez son père afin d’éviter qu’il n’entre en contact avec [...] et de se soumettre à une interdiction totale, assortie de la menace de la peine d’amende de l’art. 292 CP, de communiquer à des tiers inconnus par le biais d’application de messagerie instantanée et d’utiliser, d’une manière générale, les réseaux sociaux, le temps de la procédure.</w:t>
      </w:r>
    </w:p>
    <w:p>
      <w:r>
        <w:rPr>
          <w:b/>
        </w:rPr>
        <w:t>E. 5.1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Commentaire romand, Code de procédure pénale suisse, 2 e éd., Bâle 2019, n. 2 ad art. 237 CPP). L’art. 237 al. 3 CPP précise que, pour surveiller l’exécution de ces mesures, le tribunal peut ordonner l’utilisation d’appareils techniques qui peuvent être fixés à la personne sous surveillance.</w:t>
      </w:r>
    </w:p>
    <w:p>
      <w:r>
        <w:rPr>
          <w:b/>
        </w:rPr>
        <w:t>E. 5.2</w:t>
      </w:r>
    </w:p>
    <w:p>
      <w:r>
        <w:t>En l’espèce, il y lieu de considérer qu’aucune des mesures de substitution proposées par le prévenu n’est suffisante pour parer le risque de réitération retenu. En effet, leur respect dépendrait exclusivement de la bonne volonté du recourant de s’y soumettre et une transgression ne pourrait être constatée qu’a posteriori. S’il est vrai que l’art. 237 al. 2 CPP prévoit que font notamment partie des mesures de substitution à la détention l’interdiction de se rendre dans un certain lieu ou un certain immeuble (let. c) et l’interdiction d’entretenir des relations avec certaines personnes (let. g), le recourant perd de vue que la jurisprudence du Tribunal fédéral qualifie dans certains cas d’insuffisantes les mesures de substitution qui ne reposent que sur la volonté du prévenu de s’y soumettre (cf. p. ex. TF 1B_431/2022 du 2 septembre 2022 consid. 2.3). Or, au vu des circonstances, notamment de l’absence de prise de conscience dont il fait preuve, ainsi que des intérêts juridiquement protégés en cause, impliquant notamment l’intégrité sexuelle d’enfants, le recourant ne saurait être cru sur parole lorsqu’il prétend qu’il se conformerait aux instructions qui lui seraient imposées, ce d’autant que si les soupçons sérieux qui pèsent sur lui sont confirmés, il se trouverait en récidive spéciale par rapport à sa condamnation de 2019. En l’état, la protection d’éventuelles nouvelles victimes doit prévaloir. Aucune autre mesure de substitution ne peut au surplus être envisagée. Ainsi, le moyen du recourant doit être rejeté. Il n’a de toute manière pris aucune conclusion à cet égard.</w:t>
      </w:r>
    </w:p>
    <w:p>
      <w:r>
        <w:rPr>
          <w:b/>
        </w:rPr>
        <w:t>E. 6</w:t>
      </w:r>
    </w:p>
    <w:p>
      <w:r>
        <w:t>En définitive, le recours, manifestement mal fondé, doit être rejeté sans échange d’écritures (art. 390 al. 2 CPP) et l’ordonnance entreprise confirmée. L’indemnité allouée au défenseur d’office du recourant, Me John-David Burdet, sera fixée à 450 fr., à savoir de 2 h 30 d’activité nécessaire d’avocat pour le mémoire de recours, au tarif horaire de 180 fr. (art. 2 al. 1 let. a et b RAJ [règlement sur l'assistance judiciaire en matière civile du 7 décembre 2010 ; BLV 211.02.3] par renvoi de l’art. 26b TFIP [tarif des frais de procédure et indemnités en matière pénale du 28 septembre 2010 ; BLV 312.03.1]), plus les débours forfaitaires au taux de 2 % (art. 3bis al. 1 RAJ par renvoi de l’art. 26b TFIP), soit 9 fr., et la TVA par 35 fr. 35, le tout arrondi au franc supérieur, soit à 495 fr. au total. Les frais de procédure, constitués en l’espèce de l’émolument d’arrêt, par 1’320 fr. (art. 20 al. 1 TFIP [tarif des frais de procédure et indemnités en matière pénale du 28 septembre 2010 ; BLV 312.03.1]), ainsi que des frais imputables à la défense d’office (art. 422 al. 1 et 2 let. a CPP), fixés à 495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6 juillet 2023 est confirmée. III. L’indemnité allouée au défenseur d’office de D.________ est fixée à 495 fr. (quatre cent nonante-cinq francs). IV. Les frais d’arrêt, par 1’320 fr. (mille trois cent vingt francs), ainsi que l’indemnité due au défenseur d’office de D.________, par 495 fr. (quatre cent nonante-cinq francs), sont mis à la charge de ce dernier. V. Le remboursement à l’Etat de l’indemnité allouée au chiffre III ci-dessus ne sera exigible que pour autant que la situation financière de D.________ le permette. VI. L’arrêt est exécutoire. La présidente :               Le greffier : Du Le présent arrêt, dont la rédaction a été approuvée à huis clos, est notifié, par l'envoi d'une copie complète, à : - Me John-David Burdet, avocat (pour D.________), - Ministère public central, et communiqué à : ‑ M. le Président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