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572 vom 31. Juli 2023</w:t>
      </w:r>
    </w:p>
    <w:p>
      <w:r>
        <w:t>VD Tribunal cantonal, 2023-07-31, FR</w:t>
      </w:r>
    </w:p>
    <w:p>
      <w:r>
        <w:rPr>
          <w:b/>
        </w:rPr>
        <w:t xml:space="preserve">Quelle: </w:t>
      </w:r>
      <w:r>
        <w:t>https://mcp.opencaselaw.ch/entscheid/vd_findinfo_D_cision___2023___572</w:t>
      </w:r>
    </w:p>
    <w:p>
      <w:r>
        <w:t>FR: VD_FINDINFO Décision / 2023 / 572 du 31 juillet 2023</w:t>
      </w:r>
    </w:p>
    <w:p>
      <w:r>
        <w:t>IT: VD_FINDINFO Décision / 2023 / 572 del 31 luglio 2023</w:t>
      </w:r>
    </w:p>
    <w:p>
      <w:pPr>
        <w:pStyle w:val="Heading2"/>
      </w:pPr>
      <w:r>
        <w:t>Regeste</w:t>
      </w:r>
    </w:p>
    <w:p>
      <w:r>
        <w:t>REMPLACEMENT, DÉFENSE D'OFFICE, REJET DE LA DEMANDE | 12 LLCA, 133 al. 2 CPP (CH), 134 al. 2 CPP (CH)</w:t>
      </w:r>
    </w:p>
    <w:p>
      <w:pPr>
        <w:pStyle w:val="Heading2"/>
      </w:pPr>
      <w:r>
        <w:t>Erwägungen</w:t>
      </w:r>
    </w:p>
    <w:p>
      <w:r>
        <w:rPr>
          <w:b/>
        </w:rPr>
        <w:t>E. 1.1</w:t>
      </w:r>
    </w:p>
    <w:p>
      <w:r>
        <w:t>Les décisions de la direction de la procédure en matière de révocation et de remplacement du défenseur d'office ou du conseil juridique gratuit sont susceptibles de recours selon les art. 393 ss CPP (TF 1B_388/2020 du</w:t>
      </w:r>
    </w:p>
    <w:p>
      <w:r>
        <w:rPr>
          <w:b/>
        </w:rPr>
        <w:t>E. 1.2</w:t>
      </w:r>
    </w:p>
    <w:p>
      <w:r>
        <w:t>En l'espèce, le recours a été interjeté par écrit en temps utile (art. 396 al. 1 CPP), auprès de l’autorité compétente (art. 20 al. 1 let. b CPP et 13 LVCPP [Loi vaudoise d’introduction du Code de procédure pénale suisse du 19 mai 2009 ; BLV 312.01]), par le prévenu qui a un intérêt juridiquement protégé (art. 382 al. 1 CPP) à obtenir la modification d’une ordonnance du Ministère public rejetant sa requête de confier le mandat d'office à un autre mandataire (art. 134 al. 2 CPP). Il est donc recevable.</w:t>
      </w:r>
    </w:p>
    <w:p>
      <w:r>
        <w:rPr>
          <w:b/>
        </w:rPr>
        <w:t>E. 2</w:t>
      </w:r>
    </w:p>
    <w:p>
      <w:r>
        <w:t>septembre 2020 consid. 1 ; CREP 23 février 2023/133 ; CREP 30 mars 2022/226 ; Harari/Jakob/Santamaria, in : Jeanneret et al. [éd.], Commentaire romand, Code de procédure pénale suisse, 2 e éd., Bâle 2019, n. 25 ad art. 134 CPP).</w:t>
      </w:r>
    </w:p>
    <w:p>
      <w:r>
        <w:rPr>
          <w:b/>
        </w:rPr>
        <w:t>E. 2.1</w:t>
      </w:r>
    </w:p>
    <w:p>
      <w:r>
        <w:t>Le recourant explique en substance qu’à la suite du courrier du 22 mars 2023 de Me John-David Burdet sollicitant d’être relevé de sa mission de défenseur d’office et du refus de la procureure qui s’en est suivi, ce dernier avait délégué sa défense à Me Patrick Henchoz à l’insu du Ministère public. Me Patrick Henchoz ayant également trouvé la cause trop sensible, la défense du recourant aurait une nouvelle fois été déléguée à un autre avocat, inconnu, qui l’aurait assisté lors de l’audition du 30 mars 2023 par la Police cantonale. Le recourant conclut que l’ensemble des avocats susmentionnés ne sont pas en mesure d’assurer sa défense d’office. Dans ses déterminations, le Ministère public expose que depuis la notification de l’ordonnance attaquée, Me John-David Burdet a continué d’assurer activement et personnellement la défense du recourant. La procureure explique notamment que le précité a adressé diverses correspondances à la direction de la procédure, s’est opposé aux demandes de prolongation de détention provisoire formulées par le Ministère public, a demandé à consulter à deux reprises le dossier et déposé une demande de mise sous scellés. Par ailleurs, le recourant a été assisté de Me John-David Burdet lors de l’audition du 30 mars 2023. Selon le Ministère public, au vu des opérations réalisées, il n’est pas possible de qualifier la défense des intérêts du recourant par Me John-David Burdet d’inefficace, aucun élément objectif ne permettant de déduire que leur relation serait objectivement gravement perturbée, le recourant n’ayant formulé aucune doléance dans ce sens depuis le dépôt de son recours.</w:t>
      </w:r>
    </w:p>
    <w:p>
      <w:r>
        <w:rPr>
          <w:b/>
        </w:rPr>
        <w:t>E. 2.2</w:t>
      </w:r>
    </w:p>
    <w:p>
      <w:r>
        <w:t>L'art. 133 al. 2 CPP impose à la direction de la procédure, lors de la nomination du défenseur d’office, de tenir compte, dans la mesure du possible, des souhaits du prévenu. Ce droit de proposition (qui découle également de la CEDH) ne peut être invoqué qu'une fois, en principe au début de la procédure (TF 1B_44/2019 du 30 janvier 2019 consid. 2.2 ; TF 1B_103/2017 du 27 avril 2017 consid. 2.2). Aux termes de l'art. 134 al. 2 CPP, si la relation de confiance entre le prévenu et le défenseur d'office est gravement perturbée ou si une défense efficace n'est plus assurée pour d'autres raisons, la direction de la procédure confie la défense d'office à une autre personne. L’art. 134 al. 2 CPP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6B_1067/2021 du 11 avril 2022 consid. 1.3 et les réf. citées). Le simple fait que la partie assistée n'a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 TF 6B_35/2022 du 24 novembre 2022 consid. 4.2 et les réf. citées ; TF 1B_166/2020 consid. 3.1.2). Selon l’art. 12 LLCA (loi fédérale sur la libre circulation des avocats du 23 juin 2000 ; RS 935.61), l’avocat exerce sa profession avec soin et diligence (let. a), ainsi qu’en toute indépendance, en son nom personnel et sous sa propre responsabilité (let. b). Pour s’acquitter pleinement de sa mission, l’avocat doit informer son client sur les risques de la procédure (ATF 138 IV 161 précité consid. 2.5.4 et les réf. citées) et le conseiller en conséquence.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(ATF 138 IV 161 précité consid. 2.4 et la réf. citée) ou s’il n’entre pas dans le mandat confié à l’avocat (TF 1B_115/2021 du 3 mai 2021 consid. 3.1 et les réf. citées). Il appartient au prévenu qui demande le remplacement de son défenseur d’office de rendre vraisemblable les motifs sur lesquels il fonde sa demande (CREP 14 septembre 2022/697 consid. 2.2 ; CREP 5 septembre 2019/649 consid. 2.2 ; CREP 15 août 2018/618 consid. 2.2).</w:t>
      </w:r>
    </w:p>
    <w:p>
      <w:r>
        <w:rPr>
          <w:b/>
        </w:rPr>
        <w:t>E. 2.3</w:t>
      </w:r>
    </w:p>
    <w:p>
      <w:r>
        <w:t>En l’espèce, le recourant n’amène aucun élément probant rendant vraisemblable que la relation de confiance entre lui et son défenseur d’office soit gravement perturbée ou que sa défense ne soit plus assurée efficacement par Me John-David Burdet, cela pour un quelconque motif. Au contraire, si l’on se réfère aux déterminations du Ministère public et comme cela ressort également du dossier, tout indique que, depuis le 27 mars 2023, soit depuis l’ordonnance entreprise, Me John-David Burdet a continué d’assurer une défense efficace du recourant de manière continue, au travers de diverses opérations effectuées pour la défense des intérêts de ce dernier. Il apparaît en outre à la lecture du procès-verbal d’audition du 30 mars 2023 que le recourant était effectivement assisté de Me John-David Burdet. Dans ces circonstances, il y a lieu d’admettre que rien ne permet d’établir que la relation de confiance aurait été rompue ou que la défense du recourant par Me John-David Burdet ne serait pas réalisée efficacement. Les griefs du recourant sont infondés.</w:t>
      </w:r>
    </w:p>
    <w:p>
      <w:r>
        <w:rPr>
          <w:b/>
        </w:rPr>
        <w:t>E. 3</w:t>
      </w:r>
    </w:p>
    <w:p>
      <w:r>
        <w:t>Au vu de ce qui précède, le recours, manifestement mal fondé, doit être rejeté et l’ordonnance entreprise confirmée. Vu le sort du recours, les frais de la procédure, constitués en l’espèce de l’émolument d'arrêt, par 770 fr. (art. 20 al. 1 et 2 TFIP [Tarif des frais judiciaires et indemnités en matière pénale du 28 septembre 2010 ; BLV 312.03.1]), seront mis à la charge du recourant, qui succombe (art. 428 al. 1 CPP). Par ces motifs, la Chambre des recours pénale prononce : I. Le recours est rejeté. II. L’ordonnance du 27 mars 2023 est confirmée. III. Les frais d’arrêt, par 770 fr. (sept cent septante francs), sont mis à la charge de R.________. IV. L’arrêt est exécutoire. La présidente :               La greffière : Du Le présent arrêt, dont la rédaction a été approuvée à huis clos, est notifié, par l'envoi d'une copie complète, à : - M. R.________, - Ministère public central, et communiqué à : ‑ Madame la Procureure de l’arrondissement de la Côte, ‑ Me John-David Burdet, avocat,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