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561 vom 17. Juli 2023</w:t>
      </w:r>
    </w:p>
    <w:p>
      <w:r>
        <w:t>VD Tribunal cantonal, 2023-07-17, FR</w:t>
      </w:r>
    </w:p>
    <w:p>
      <w:r>
        <w:rPr>
          <w:b/>
        </w:rPr>
        <w:t xml:space="preserve">Quelle: </w:t>
      </w:r>
      <w:r>
        <w:t>https://mcp.opencaselaw.ch/entscheid/vd_findinfo_D_cision___2023___561</w:t>
      </w:r>
    </w:p>
    <w:p>
      <w:r>
        <w:t>FR: VD_FINDINFO Décision / 2023 / 561 du 17 juillet 2023</w:t>
      </w:r>
    </w:p>
    <w:p>
      <w:r>
        <w:t>IT: VD_FINDINFO Décision / 2023 / 561 del 17 luglio 2023</w:t>
      </w:r>
    </w:p>
    <w:p>
      <w:pPr>
        <w:pStyle w:val="Heading2"/>
      </w:pPr>
      <w:r>
        <w:t>Regeste</w:t>
      </w:r>
    </w:p>
    <w:p>
      <w:r>
        <w:t>VIOLENCE DOMESTIQUE, DÉTENTION PROVISOIRE, PROLONGATION, REJET DE LA DEMANDE, RISQUE DE RÉCIDIVE, RISQUE DE COLLUSION | 221 al. 1 let. b CPP (CH), 221 al. 1 let. c CPP (CH), 237 CPP (CH)</w:t>
      </w:r>
    </w:p>
    <w:p>
      <w:pPr>
        <w:pStyle w:val="Heading2"/>
      </w:pPr>
      <w:r>
        <w:t>Erwägungen</w:t>
      </w:r>
    </w:p>
    <w:p>
      <w:r>
        <w:rPr>
          <w:b/>
        </w:rPr>
        <w:t>E. 1</w:t>
      </w:r>
    </w:p>
    <w:p>
      <w:r>
        <w:t>Interjeté dans le délai légal (art. 396 al. 1 CPP)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Les conditions prévues par l’art. 221 al. 1 CPP sont alternatives (TF 1B_91/2021 du 10 mars 2021 consid. 4.2 ; TF 1B_249/2011 du 7 juin 2011 consid. 2.4).</w:t>
      </w:r>
    </w:p>
    <w:p>
      <w:r>
        <w:rPr>
          <w:b/>
        </w:rPr>
        <w:t>E. 2.9</w:t>
      </w:r>
    </w:p>
    <w:p>
      <w:r>
        <w:t>; TF 1B_88/2022 du 29 mars 2022 consid. 3.1).</w:t>
      </w:r>
    </w:p>
    <w:p>
      <w:r>
        <w:rPr>
          <w:b/>
        </w:rPr>
        <w:t>E. 3.1</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 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1B_88/2022 du 29 mars 2022 consid. 2.1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1B_7/2020 du 24 janvier 2020 consid. 3.1 ; TF 1B_219/2019 du 4 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2e éd., Bâle 2014, n. 3 ad art. 221 CPP).</w:t>
      </w:r>
    </w:p>
    <w:p>
      <w:r>
        <w:rPr>
          <w:b/>
        </w:rPr>
        <w:t>E. 3.2</w:t>
      </w:r>
    </w:p>
    <w:p>
      <w:r>
        <w:t>En l’occurrence, dans son écriture, A.________ ne conteste pas formellement les violences domestiques reprochées, mais plutôt leurs qualifications juridiques en relation avec l’examen de la proportionnalité de sa détention provisoire (cf. consid. 8 infra). On relèvera tout de même que les éléments rapportés par [...] et [...], filles du couple, qui ont notamment déclaré que leurs parents ne s’étaient jamais bien entendus et que leur relation s’était fortement dégradée à la fin de l’année 2022 (P. 4), et ceux rapportés par la plaignante (P. 4), sont concordants et s’opposent aux dénégations du prévenu, qui minimise les faits et se pose en victime. A cela s’ajoute le constat médical du 6 février 2023 (P. 48), qui corrobore également la version de G.________ quant aux violences conjugales subies, étant précisé que ce document relate deux autres passages de la victime à l’Unité des médecines des violences pour des faits similaires en 2010 et en 2015. Enfin, dans une lettre à son épouse, retenue par la prison (P. 25), A.________ s’excuse pour son comportement du passé, ce qui laisse fortement penser qu’il a adopté le comportement qui lui est reproché aujourd’hui. Les éléments précités fondent un faisceau de présomptions tangible qui remplit la première condition posée par l’art. 221 al. 1 CPP.</w:t>
      </w:r>
    </w:p>
    <w:p>
      <w:r>
        <w:rPr>
          <w:b/>
        </w:rPr>
        <w:t>E. 4.1</w:t>
      </w:r>
    </w:p>
    <w:p>
      <w:r>
        <w:t>Le recourant conteste ensuite l’existence d’un risque de collusion. Il fait valoir qu’il a renoncé à faire entendre le témoin dont il avait sollicité l’audition au début de la procédure et que le dossier est en prochaine clôture. Il rappelle également que son épouse a retiré sa plainte, de sorte qu’il ne pourrait pas l’influencer.</w:t>
      </w:r>
    </w:p>
    <w:p>
      <w:r>
        <w:rPr>
          <w:b/>
        </w:rPr>
        <w:t>E. 4.2</w:t>
      </w:r>
    </w:p>
    <w:p>
      <w:r>
        <w:t>Le motif de détention pour risque de collusion est réalisé lorsqu’il est sérieusement à craindre que le prévenu compromette la recherche de la vérité en exerçant une influence sur des personnes ou en altérant des moyens de preuve. L’altération des moyens de preuve consiste à détruire, à modifier ou à dissimuler des documents ou objets défavorables au prévenu (ATF 137 IV 122 consid. 6.2 et 6.4 ; Chaix, Commentaire romand, CPP, 2 e éd., Bâle 2019, n. 13 ad art. 221 CPP).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entrent aussi en considération la nature et l’importance des déclarations, respectivement des moyens de preuve susceptibles d’être menacés, la gravité des infractions en cause et le stade de la procédure (ATF 137 IV 122 consid. 4.2 ; ATF 132 I 21 consid. 3.2 ; TF 1B_55/2023 du 16 février 2023 consid. 3.1).</w:t>
      </w:r>
    </w:p>
    <w:p>
      <w:r>
        <w:rPr>
          <w:b/>
        </w:rPr>
        <w:t>E. 4.3</w:t>
      </w:r>
    </w:p>
    <w:p>
      <w:r>
        <w:t>En l’occurrence, force est de constater que même si l’enquête est terminée et que le Ministère public est sur le point de rendre son acte d’accusation, le risque que le recourant n’influence ses filles et sa femme est très présent. On rappellera que le prévenu a déjà essayé de contacter par courrier son épouse durant la procédure pour lui demander de retirer sa plainte (P. 24). Par ailleurs, et même si G.________ a finalement retiré sa plainte, il n’est pas exclu que A.________ la contacte ainsi que leurs filles pour faire pression sur elles afin qu’elles modifient leurs déclarations, dans la mesure où il conteste les faits tels qu’ils lui sont reprochés, allant même jusqu’à soutenir que sa victime « exagère » leurs disputes. Le risque de collusion est donc concret.</w:t>
      </w:r>
    </w:p>
    <w:p>
      <w:r>
        <w:rPr>
          <w:b/>
        </w:rPr>
        <w:t>E. 5.1</w:t>
      </w:r>
    </w:p>
    <w:p>
      <w:r>
        <w:t>Le recourant conteste également l’existence du risque de réitération retenu par le Tribunal des mesures de contrainte. Il fait valoir que les précédentes procédures initiées à son encontre ont été classées et qu’il n’a pas d’antécédents en matière de violences conjugales.</w:t>
      </w:r>
    </w:p>
    <w:p>
      <w:r>
        <w:rPr>
          <w:b/>
        </w:rPr>
        <w:t>E. 5.2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 TF 1B_176/2022 du 21 avril 2022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1B_176/2022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1B_176/2022 précité ; TF 1B_150/2021 du 16 avril 2021 consid. 4.1). Le risque de récidive peut également se fonder sur les infractions faisant l'objet de la procédure pénale en cours, si le prévenu est fortement soupçonné – avec une probabilité confinant à la certitude – de les avoir commises (ATF 143 IV 9 consid. 2.3.1).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 2.2 ; ATF 143 IV 9 précité consid.</w:t>
      </w:r>
    </w:p>
    <w:p>
      <w:r>
        <w:rPr>
          <w:b/>
        </w:rPr>
        <w:t>E. 5.3</w:t>
      </w:r>
    </w:p>
    <w:p>
      <w:r>
        <w:t>S’agissant du risque de réitération, le Tribunal des mesures de contrainte renvoie aux motifs développés dans son ordonnance du 3 février 2023 par laquelle il avait ordonné la détention provisoire initiale du recourant. Dans cette ordonnance, il avait retenu que A.________ était connu des autorités puisqu’il admettait lui-même que la police avait dû se déplacer à tout le moins à trois reprises pour des problèmes domestiques (PV aud. 1, l. 124), que les deux précédentes procédures pour violences conjugales dans le couple avaient certes été classées avec l’accord de l’intéressée, mais que la jurisprudence avait confirmé qu’au vu des intérêts en jeu, il pouvait tout de même être tenu compte de ce type d’antécédents dans l’analyse du risque de récidive, même lorsque le casier judiciaire était vierge (CREP n° 197 du 13 mars 2019, confirmé par TF 1B_339/2019 du 26 juillet 2019). Ainsi, le risque que A.________ ne réitère ses agissements en s’en prenant à l’intégrité physique de sa compagne et/ou de leurs filles s’il devait être libéré était sérieux et la sécurité publique devait ainsi primer sur la liberté personnelle de l’intéressé. Cette appréciation échappe à la critique et les arguments soulevés à son encontre par le recourant tombent à faux. En effet, le fait que le casier judiciaire du recourant ne comporte pas d’inscription n’empêche pas de retenir un risque de réitération, vu la gravité des actes redoutés et le fait que sont en jeu des intérêts juridiques particulièrement élevés, soit l’intégrité corporelle de sa femme et de ses filles. Dans de telles circonstances, le risque de réitération peut se fonder sur les infractions faisant l'objet de la procédure pénale en cours, dès lors que, contrairement à ce qu’il prétend, le recourant est fortement soupçonné de les avoir commises. On relèvera par ailleurs qu’avoir fait l’objet de procédures pénales antérieures pour violences domestiques, quand bien même classées, ne paraît avoir eu aucun effet sur son comportement à l’égard de son épouse. Il semble en outre que le recourant envisage une reprise de la vie commune à sa sortie de prison, ce qui rend ce risque encore plus important. Au vu de ce qui précède, c’est à juste titre que le Tribunal des mesures de contrainte a retenu que le risque de réitération était concret.</w:t>
      </w:r>
    </w:p>
    <w:p>
      <w:r>
        <w:rPr>
          <w:b/>
        </w:rPr>
        <w:t>E. 6</w:t>
      </w:r>
    </w:p>
    <w:p>
      <w:r>
        <w:t>Comme la réalisation d’un seul des risques énumérés à l’art. 221 al. 1 CPP suffit pour justifier la détention provisoire (TF 1B_242/2016 du 21 juillet 2016 consid. 5), il n’est pas nécessaire d’examiner si le risque de fuite, au demeurant non développé par le Tribunal des mesures de contrainte, reste actuel.</w:t>
      </w:r>
    </w:p>
    <w:p>
      <w:r>
        <w:rPr>
          <w:b/>
        </w:rPr>
        <w:t>E. 7.1</w:t>
      </w:r>
    </w:p>
    <w:p>
      <w:r>
        <w:t>Le recourant requiert la mise en œuvre de mesures de substitution à forme de l’obligation de se rendre au Centre de prévention de l’Ale à Lausanne et d’y entamer un suivi, de l’obligation de déposer son passeport dans les 24 heures suivant sa libération auprès de l’autorité qui sera désignée, et de l’obligation de se rendre tous les lundis après-midi auprès d’un poste de police afin d’annoncer sa présence en Suisse.</w:t>
      </w:r>
    </w:p>
    <w:p>
      <w:r>
        <w:rPr>
          <w:b/>
        </w:rPr>
        <w:t>E. 7.2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op. cit., n. 2 ad art. 237 CPP). L’art. 237 al. 3 CPP précise que, pour surveiller l’exécution de ces mesures, le tribunal peut ordonner l’utilisation d’appareils techniques qui peuvent être fixés à la personne sous surveillance. D’après le Tribunal fédéral, une mesure de substitution ayant les caractéristiques d’une mesure au sens des art. 59 ss CP ne peut être ordonnée par le juge de la détention sans que toutes les conditions en soient a priori assurées, ce qui suppose au minimum l’avis d’un expert psychiatre (TF 1B_91/2021 du 10 mars 2021 consid. 2.3 ; TF 193/2020 du 7 mai 2020 consid. 5 ; Frei/Zuberbühler Elsässer, in : Donatsch/Lieber/Summers/Wohlers [éd.], Zürcher Kommentar, Kommentar zur schweizerischen Strafprozessordnung, 3e éd., Zurich 2020, n. 9 ad art. 237 CPP).</w:t>
      </w:r>
    </w:p>
    <w:p>
      <w:r>
        <w:rPr>
          <w:b/>
        </w:rPr>
        <w:t>E. 7.3</w:t>
      </w:r>
    </w:p>
    <w:p>
      <w:r>
        <w:t>En l’occurrence, aucune des mesures de substitution proposées n’est suffisante pour parer les risques retenus. En effet, leur respect dépendrait exclusivement de la bonne volonté du recourant de s’y soumettre et une transgression ne pourrait être constatée qu’a posteriori. Partant, au vu des circonstances, ainsi que des intérêts juridiquement protégés en cause, le recourant ne saurait être cru sur parole lorsqu’il prétend qu’il se conformerait aux instructions qui lui seraient imposées. A cet égard on rappellera que la jurisprudence du Tribunal fédéral qualifie dans certains cas – comme en l’espèce – d’insuffisantes les mesures de substitution qui ne reposent que sur la volonté du prévenu de s’y soumettre (TF 1B_431/2022 du 2 septembre 2022 consid. 2.3). Enfin, un suivi au centre de prévention de l’Ale comme proposé par A.________ s’apparenterait à la mise en place d’un traitement ambulatoire, qui relève en principe de la compétence du juge de fond. On ne voit par ailleurs pas quelle autre mesure serait susceptible de parer efficacement aux risques retenus.</w:t>
      </w:r>
    </w:p>
    <w:p>
      <w:r>
        <w:rPr>
          <w:b/>
        </w:rPr>
        <w:t>E. 8.1</w:t>
      </w:r>
    </w:p>
    <w:p>
      <w:r>
        <w:t>Le recourant fait valoir qu’il n’a pas d’antécédents pour des faits similaires, de sorte qu’il ne se trouve pas dans l’hypothèse d’une récidive spéciale. Il conteste la commission des infractions de menaces et d’injure et estime qu’il sera vraisemblablement renvoyé pour voies de fait qualifiées et éventuellement pour violation du devoir d’assistance ou d’éducation. Le temps passé en détention serait ainsi équivalent à la peine susceptible d’être prononcée et une prolongation d’un mois de détention constituerait une violation du principe de proportionnalité.</w:t>
      </w:r>
    </w:p>
    <w:p>
      <w:r>
        <w:rPr>
          <w:b/>
        </w:rPr>
        <w:t>E. 8.2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145 IV 179 consid. 3.1; ATF 133 I 168 consid. 4.1 et la jurisprudence citée ; TF 1B_99/2023 du 7 mars 2023 consid. 5.1).</w:t>
      </w:r>
    </w:p>
    <w:p>
      <w:r>
        <w:rPr>
          <w:b/>
        </w:rPr>
        <w:t>E. 8.3</w:t>
      </w:r>
    </w:p>
    <w:p>
      <w:r>
        <w:t>En l’occurrence, la détention provisoire, subie respectivement à subir jusqu’au 28 juillet 2023 (6 mois), ne contrevient pas encore à la proportionnalité au regard de la peine privative de liberté susceptible d’être prononcée au vu des infractions considérées, qui sont susceptibles d’entrer en concours, ce d’autant que le recourant est sur le point d’être renvoyé en jugement, l’avis de prochaine clôture ayant été envoyé aux parties le 8 juin 2023. Enfin, l’instruction ayant été ouverte le 1 er février 2023 et le dossier ayant été mis en prochaine clôture par avis du 8 juin 2023, on ne saurait suivre le recourant lorsqu’il se plaint d’une violation du principe de célérité.</w:t>
      </w:r>
    </w:p>
    <w:p>
      <w:r>
        <w:rPr>
          <w:b/>
        </w:rPr>
        <w:t>E. 9</w:t>
      </w:r>
    </w:p>
    <w:p>
      <w:r>
        <w:t>Il résulte de ce qui précède que le recours, manifestement mal fondé, doit être rejeté sans échange d’écritures (art. 390 al. 2 CPP) et l’ordonnance attaquée confirmée. Les frais de la procédure de recours sont constitués en l’espèce d’abord de l’émolument d'arrêt, par 1’430 fr. (art. 20 al. 1 TFIP [Tarif des frais judiciaires de procédure et indemnités en matière pénale du 28 septembre 2010; BLV 312.03.1]). Ils comprennent ensuite les frais imputables à la défense d’office (art. 422 al. 1 et 2 let. a CPP), qui seront fixés à 540 fr. (3 heures d’activité nécessaire d’avocat au tarif horaire de 180 fr.), honoraires auxquels il convient d’ajouter des débours forfaitaires à concurrence de 2 % (art. 3bis al. 1 RAJ [Règlement sur l’assistance judiciaire en matière civile du 7 décembre 2010; BLV 211.02.3], applicable par renvoi de l’art. 26b TFIP), par 10 fr. 80, plus la TVA, par 42 fr. 40, soit à 594 fr. au total en chiffres arrondis. Les frais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27 juin 2023 est confirmée. III. L’indemnité allouée à Me Florence Aebi, défenseur d’office de A.________, est fixée à 594 fr. (cinq cent nonante-quatre francs). IV. Les frais d’arrêt, par 1’430 fr. (mille quatre cent trente francs), ainsi que l’indemnité allouée à Me Florence Aebi, par 594 fr (cinq cent nonante-quatre francs), sont mis à la charge de A.________. V. Le remboursement à l’Etat de l’indemnité allouée sous chiffre III ci-dessus ne sera exigible de la part de A.________ que pour autant que sa situation financière le permette. VI. L’arrêt est exécutoire. La présidente :               La greffière : Du Le présent arrêt, dont la rédaction a été approuvée à huis clos, est notifié, par l'envoi d'une copie complète, à : - Me Florence Aebi, avocate (pour A.________), - Ministère public central, et communiqué à : ‑ M. le Président du Tribunal des mesures de contrainte, - Mme la Procureure de l’arrondissement de Lausanne, - Me Zoubair Touima, avocat (pour G.________), - Mme G.________ (pour [...] et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