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535 vom 11. Juli 2023</w:t>
      </w:r>
    </w:p>
    <w:p>
      <w:r>
        <w:t>VD Tribunal cantonal, 2023-07-11, FR</w:t>
      </w:r>
    </w:p>
    <w:p>
      <w:r>
        <w:rPr>
          <w:b/>
        </w:rPr>
        <w:t xml:space="preserve">Quelle: </w:t>
      </w:r>
      <w:r>
        <w:t>https://mcp.opencaselaw.ch/entscheid/vd_findinfo_D_cision___2023___535</w:t>
      </w:r>
    </w:p>
    <w:p>
      <w:r>
        <w:t>FR: VD_FINDINFO Décision / 2023 / 535 du 11 juillet 2023</w:t>
      </w:r>
    </w:p>
    <w:p>
      <w:r>
        <w:t>IT: VD_FINDINFO Décision / 2023 / 535 del 11 luglio 2023</w:t>
      </w:r>
    </w:p>
    <w:p>
      <w:pPr>
        <w:pStyle w:val="Heading2"/>
      </w:pPr>
      <w:r>
        <w:t>Regeste</w:t>
      </w:r>
    </w:p>
    <w:p>
      <w:r>
        <w:t>DROIT PÉNAL DES MINEURS, COMPÉTENCE, ÂGE, ADMISSION DE LA DEMANDE, DÉTENTION PROVISOIRE | 9 al. 2 CP, 3 DPMin, 39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par une partie qui a un intérêt juridique à l’annulation ou à la modification de l’ordonnance attaquée (art. 382 al. 1 CPP) et dans les formes prescrites (art. 385 al. 1 CPP). Il est donc recevable.</w:t>
      </w:r>
    </w:p>
    <w:p>
      <w:r>
        <w:rPr>
          <w:b/>
        </w:rPr>
        <w:t>E. 2</w:t>
      </w:r>
    </w:p>
    <w:p>
      <w:r>
        <w:t>Le recourant invoque une violation des art. 37 let. b et 40 CDE (Convention relative aux droits de l’enfant du 20 novembre 1989 ; RS 0.107), 11 al. 1 Cst. (Constitution fédérale de la Confédération suisse du 18 avril 1999 ; RS 101) et 27 et 28 PPMin (loi fédérale du 20 mars 2009 sur la procédure pénale applicable aux mineurs ; RS 312.1). Il fait grief au Tribunal des mesures de contrainte de n’avoir retenu que les résultats de l’expertise dentaire, lesquels indiquent que la probabilité qu’il soit majeur est élevée, ce qui serait arbitraire. Il relève que le scanner des clavicules préconisé par la jurisprudence n’a pas pu être effectué. Outre l’expertise d’âge, le recourant soutient que l’autorité intimée aurait dû tenir compte de l’ordonnance pénale rendue par les autorités valaisannes, lesquelles l’ont considéré comme mineur. Le doute prévalant, l’âge minimum indiqué par le CURML devait être retenu par les autorités pénales vaudoises. Il prétend dès lors que sa détention actuelle au sein d’une prison pour adultes viole l’art. 28 PPMin et porte une grave atteinte à son intégrité physique et psychique, ainsi qu’à son développement.</w:t>
      </w:r>
    </w:p>
    <w:p>
      <w:r>
        <w:rPr>
          <w:b/>
        </w:rPr>
        <w:t>E. 2.1.1</w:t>
      </w:r>
    </w:p>
    <w:p>
      <w:r>
        <w:t>Selon l’art. 9 Cst., toute personne a le droit d’être traitée par les organes de l’État sans arbitraire et conformément aux règles de la bonne foi. Cela signifie que la constatation des faits ne peut être critiquée que si elle est arbitraire au sens de l'art. 9 Cst. Selon une jurisprudence constante (ATF 146 IV 88 consid. 1.3.1 et les références citées), il n'y a arbitraire que si l'appréciation des preuves effectuée par l'instance précédente est absolument insoutenable, c'est-à-dire si l'autorité se fonde dans sa décision sur des faits qui sont en nette contradiction avec la situation effective ou qui reposent sur une erreur manifeste. Le fait qu'une autre solution semble également possible ne suffit pas. Il est nécessaire que la décision soit arbitraire non seulement dans sa motivation, mais aussi dans son résultat. Le grief d'arbitraire doit être formulé explicitement et motivé de manière circonstanciée. Le principe « in dubio pro reo », dans sa fonction de règle d'appréciation des preuves dans la procédure devant le Tribunal fédéral, n'a pas de signification allant au-delà de l'interdiction de l'arbitraire de l'art. 9 Cst. (ibidem).</w:t>
      </w:r>
    </w:p>
    <w:p>
      <w:r>
        <w:rPr>
          <w:b/>
        </w:rPr>
        <w:t>E. 2.1.2</w:t>
      </w:r>
    </w:p>
    <w:p>
      <w:r>
        <w:t>Les art. 3, 37 et 40 CDE, ainsi que les art. 3 et 8 CEDH (Convention de sauvegarde des droits de l'homme et des libertés fondamentales du 4 novembre 1950 ; RS 0.101) – concrétisés à l’art 11 Cst. – imposent aux Etats des traitements différenciés pour les mineurs, que ce soit en matière de détention et/ou d’établissements dans lesquels cette détention doit être effectuée.</w:t>
      </w:r>
    </w:p>
    <w:p>
      <w:r>
        <w:rPr>
          <w:b/>
        </w:rPr>
        <w:t>E. 2.1.3</w:t>
      </w:r>
    </w:p>
    <w:p>
      <w:r>
        <w:t>La PPMin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Code de procédure pénale suisse du 5 octobre 2007 (CPP ; RS 312.0) est applicable, sous la réserve des exceptions exhaustivement énoncées par la loi spéciale (art. 3 al. 1 PPMin). Aux termes de l’art. 27 al. 1 PPMin, la détention provisoire et la détention pour des motifs de sûreté ne sont prononcées qu’à titre exceptionnel et seulement si aucune mesure de substitution n’est envisageable. Selon l’art. 28 al. 1 PPMin, la détention provisoire et la détention pour des motifs de sûreté sont exécutées dans un établissement réservé aux mineurs ou dans une division particulière d’une maison d’arrêts où les mineurs sont séparés des détenus adultes. Une prise en charge appropriée est assurée. Selon l’art. 30 PPMin, l’autorité d’instruction – qui, dans le canton de Vaud, est le juge des mineurs (art. 3 al. 1 let. b et 8 LVPPMin [Loi d’introduction de la loi fédérale du 20 mars 2009 sur la procédure pénale applicable aux mineurs du 2 février 2010;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L’art. 39 al. 1 CPP, applicable au juge des mineurs par renvoi de l’art. 3 al. 1 PPMin, prévoit que les autorités pénales vérifient d’office si elles sont compétentes et, le cas échéant, transmettent l’affaire à l’autorité compétente. Selon l’art. 9 al. 2, 1 re phrase, CP (Code pénal suisse du 21 décembre 1937 ; RS 311.0), le droit pénal des mineurs s’applique aux personnes qui n’ont pas 18 ans le jour de l’acte. Cette disposition est reprise aux art. 1 al. 1 et 3 al. 1 DPMin. Ainsi, l'art. 3 al. 1 DPMin prévoit que cette loi s'applique à quiconque commet un acte punissable entre 10 et 18 ans.</w:t>
      </w:r>
    </w:p>
    <w:p>
      <w:r>
        <w:rPr>
          <w:b/>
        </w:rPr>
        <w:t>E. 2.1.4</w:t>
      </w:r>
    </w:p>
    <w:p>
      <w:r>
        <w:t>En matière d'asile, l'expertise d'âge ne constitue que l'un des éléments entrant en considération dans l'appréciation des indices (Progin-Theuerkauf/Sironi/ Taroni/Vuille, L'estimation de l'âge des jeunes personnes migrantes en Suisse et dans l'Union européenne : perspectives juridiques et scientifiques, in ASYL 1/2020 p. 3 ss, ad III p. 5). En effet, l'autorité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et 26 al. 2 de la loi fédérale du 26 juin 1998 sur l'asile [LAsi ; RS 142.31]) ; ces indices n'ont pas tous la même valeur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selon l'arrêt du Tribunal administratif fédéral E-3013/2020 du 8 juillet 2020 consid. 4.3.2 ; SEM, Manuel Asile et retour, article C9, Requérants d'asile mineurs non accompagnés [RMNA, état au 10 février 2020 ; ci-après : SEM, Manuel Asile et retour], ad ch. 2.4.2 p. 10 ; TF 1B_425/2021 du 17 novembre 2021 consid. 4.2 et les références citées). En matière d'asile, 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(arrêt du Tribunal administratif fédéral E-6471/2018 du 12 octobre 2020 consid. 4.3.1 et les références citées ; Progin-Theuerkauf/Sironi/Taroni/Vuille, op. cit., ad III p. 5 ; Matter, Das Altersgutachten im schweizerischen Asylrecht im Lichte des Grundrechts auf informationelle Selbstbestimmung, in ASYL 1/2020 p. 14 ss, ad I p. 14 ; SEM, Manuel Asile et retour, ad ch. 2.4.2 p. 9 s. ; TF 1B_425/2021 précité consid. 4.2 et les références citées). Selon le Tribunal fédéral (TF 1B_425/2021 précité), l'expertise d'âge par la méthode scientifique - dite des « trois piliers »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(ATAF 2018 VI/</w:t>
      </w:r>
    </w:p>
    <w:p>
      <w:r>
        <w:rPr>
          <w:b/>
        </w:rPr>
        <w:t>E. 2.2</w:t>
      </w:r>
    </w:p>
    <w:p>
      <w:r>
        <w:t>En l’espèce, les conditions du maintien en détention et sa prolongation ne sont ni discutables, ni discutés. La seule question litigieuse a trait à l’âge du recourant afin de savoir qui du Ministère public ou du Tribunal des mineurs doit être saisi. Cette question fait l’objet de l’arrêt rendu par la Chambre de céans à la suite du recours interjeté par C.________ contre l’ordonnance de constatation de compétence du 15 juin 2023 du Ministère public, auquel il est ici renvoyé (cf. CREP 11 juillet 2023/542). Dans cet arrêt, il a en substance été considéré qu’aucune certitude quant à l’âge du recourant ne pouvait être établie, de sorte qu’en vertu de l’art. 10 al. 3 CPP, la possibilité qu’il soit mineur devait primer.</w:t>
      </w:r>
    </w:p>
    <w:p>
      <w:r>
        <w:rPr>
          <w:b/>
        </w:rPr>
        <w:t>E. 3</w:t>
      </w:r>
    </w:p>
    <w:p>
      <w:r>
        <w:t>En définitive, le recours doit être admis, l’ordonnance annulée et le dossier renvoyé au Tribunal des mesures de contrainte pour qu’il raye la cause du rôle. Le défenseur d’office du recourant, Me Luisa Bottarelli, a produit une liste des opérations et débours faisant état d’un temps consacré à la procédure de recours de 3h48. Toutefois, il apparaît que le contenu du recours est en très grande partie repris du recours objet de l’arrêt CREP 11 juillet 2023/542 et pour lequel cette avocate a été pleinement indemnisée. Par conséquent, il se justifie de ne retenir pour la présente procédure qu’une durée d’une heure d’activité nécessaire. L’indemnité allouée à Me Luisa Bottarelli sera donc fixée à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3 fr. 60, et la TVA par 14 fr. 15, le tout arrondi au franc supérieur, soit à 198 fr. au total. Les frais de la procédure, constitués de l’émolument d’arrêt, par 1'100 fr. (art. 20 al. 1 TFIP), ainsi que de l’indemnité allouée au défenseur d’office de C.________, seront laissés à la charge de l’Etat, en application de l’art. 428 al. 4 CPP. Par ces motifs, la Chambre des recours pénale prononce : I. Le recours est admis. II. L’ordonnance du 2 juin 2023 est annulée. III. Le dossier est renvoyé au Tribunal des mesures de contrainte pour qu’il raye la cause du rôle. IV. L’indemnité allouée à Me Luisa Bottarelli, défenseur d’office de C.________, est fixée à 198 fr. (cent nonante-huit francs). V. Les frais d’arrêt, par 1’100 fr. (mille cent francs), ainsi que l’indemnité due au défenseur d’office de C.________, par 198 fr. (cent nonante-huit francs), sont laissés à la charge de l’Etat. VI. L’arrêt est exécutoire. La présidente :               Le greffier : Du Le présent arrêt, dont la rédaction a été approuvée à huis clos, est notifié, par l'envoi d'une copie complète, à : - Me Luisa Bottarelli, avocate (pour C.________), - Ministère public central, et communiqué à : ‑ M. le Président du Tribunal des mesures de contrainte, - Mme la Procureure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