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510 vom 21. Juni 2023</w:t>
      </w:r>
    </w:p>
    <w:p>
      <w:r>
        <w:t>VD Tribunal cantonal, 2023-06-21, FR</w:t>
      </w:r>
    </w:p>
    <w:p>
      <w:r>
        <w:rPr>
          <w:b/>
        </w:rPr>
        <w:t xml:space="preserve">Quelle: </w:t>
      </w:r>
      <w:r>
        <w:t>https://mcp.opencaselaw.ch/entscheid/vd_findinfo_D_cision___2023___510</w:t>
      </w:r>
    </w:p>
    <w:p>
      <w:r>
        <w:t>FR: VD_FINDINFO Décision / 2023 / 510 du 21 juin 2023</w:t>
      </w:r>
    </w:p>
    <w:p>
      <w:r>
        <w:t>IT: VD_FINDINFO Décision / 2023 / 510 del 21 giugno 2023</w:t>
      </w:r>
    </w:p>
    <w:p>
      <w:pPr>
        <w:pStyle w:val="Heading2"/>
      </w:pPr>
      <w:r>
        <w:t>Regeste</w:t>
      </w:r>
    </w:p>
    <w:p>
      <w:r>
        <w:t>FAUX INTELLECTUEL DANS LES TITRES, FAUX MATÉRIEL DANS LES TITRES, USAGE DE FAUX{DROIT PÉNAL}, ORDONNANCE DE NON-ENTRÉE EN MATIÈRE, ADMISSION DE LA DEMANDE | 251 CP, 310 CPP (CH)</w:t>
      </w:r>
    </w:p>
    <w:p>
      <w:pPr>
        <w:pStyle w:val="Heading2"/>
      </w:pPr>
      <w:r>
        <w:t>Erwägungen</w:t>
      </w:r>
    </w:p>
    <w:p>
      <w:r>
        <w:rPr>
          <w:b/>
        </w:rPr>
        <w:t>E. 1</w:t>
      </w:r>
    </w:p>
    <w:p>
      <w:r>
        <w:t>CPP), par la partie plaignante qui a qualité pour recourir (art. 382 al. 1 CPP), le recours est recevable.</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(art. 385 al.</w:t>
      </w:r>
    </w:p>
    <w:p>
      <w:r>
        <w:rPr>
          <w:b/>
        </w:rPr>
        <w:t>E. 2.1</w:t>
      </w:r>
    </w:p>
    <w:p>
      <w:r>
        <w:t>La recourante invoque une violation du principe in dubio pro duriore. Elle expose qu’à teneur de sa plainte, il est aisé de déduire que des rapports juridiques la lient à ses fils et que le document en question tend à faire croire qu’elle n’aurait aucune prétention à faire valoir à leur encontre du chef des rapports de travail, alors même qu’elle a formulé des revendications en ce sens par conseils interposés. Elle soutient avoir fourni de manière claire les informations permettant de définir ses intérêts à déposer une plainte pénale, à savoir les prétentions civiles qu’elle peut avoir tant en lien avec son contrat de travail qu’avec la vente immobilière. Elle reproche au procureur de n’avoir procédé à aucune vérification nécessaire à l’établissement des faits et en particulier de ne pas avoir vérifié l’authenticité du document, notamment par le biais d’une expertise olographe.</w:t>
      </w:r>
    </w:p>
    <w:p>
      <w:r>
        <w:rPr>
          <w:b/>
        </w:rPr>
        <w:t>E. 2.2</w:t>
      </w:r>
    </w:p>
    <w:p>
      <w:r>
        <w:t>Conformément à l'art. 310 al. 1 let. a CPP, le Ministère public rend immédiatement – c'est-à-dire sans qu'une instruction soit ouverte (art. 309 al. 1 et 4 CPP ; ATF 144 IV 81 consid. 2.3.3 ; Grodecki/Cornu, in : Jeanneret/Kuhn/Perrier Depeursinge [édit.], Code de procédure pénale suisse, Commentaire romand,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Selon l'art. 251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(ATF 142 IV 119 consid. 2.2 ; ATF 138 IV 130 consid. 2.1 ; TF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6B_367/2022 du 4 juillet 2022 consid. 1.2 et les réf. citées).</w:t>
      </w:r>
    </w:p>
    <w:p>
      <w:r>
        <w:rPr>
          <w:b/>
        </w:rPr>
        <w:t>E. 2.4</w:t>
      </w:r>
    </w:p>
    <w:p>
      <w:r>
        <w:t>Le raisonnement du Ministère public, qui soutient que le document litigieux n’est pas un titre – sans toutefois chercher à le démontrer – ne peut être suivi. En effet, l’attestation incriminée s’inscrit indéniablement dans le cadre du litige opposant la plaignante et ses filles, d’une part, à ses fils, d’autre part. Celui-ci relève notamment du droit du travail et semble également porter sur la façon dont les fils de la plaignante traitaient celle-ci de manière plus générale, ce qui est en lien avec ses droits de la personnalité. Du reste, et c’est pour le moins révélateur, l’avocat des fils a précisément invoqué ce document à l’appui de son courrier du 11 novembre 2022 adressé à l’avocat de la plaignante et de ses filles, par lequel il relève notamment que leurs accusations sont sans fondement. Ainsi, les faits attestés dans la pièce incriminée ont clairement une portée juridique. En outre, on ne saurait exclure que cette attestation soit un faux et la comparaison de la signature apposée sur ce document avec celle figurant sur la plainte ou sur la procuration au dossier pourrait révéler certaines différences, notamment au niveau des deux premières lettres, même si cet examen devra porter sur des signatures « neutres », soit antérieures au présent litige et donc totalement spontanées. Il résulte de ce qui précède que les conditions posées au prononcé d’une non-entrée en matière ne sont pas réunies. Le Ministère public devra donc ouvrir une instruction afin notamment d’établir l’authenticité du document litigieux et de déterminer si les éléments constitutifs de l’infraction de faux dans les titres sont réunis, respectivement de toute autre éventuelle infraction.</w:t>
      </w:r>
    </w:p>
    <w:p>
      <w:r>
        <w:rPr>
          <w:b/>
        </w:rPr>
        <w:t>E. 3</w:t>
      </w:r>
    </w:p>
    <w:p>
      <w:r>
        <w:t>En définitive, le recours doit être admis et l’ordonnance du 3 janvier 2023 annulée. Le dossier de la cause sera renvoyé au Ministère public pour qu’il procède dans le sens des considérants. Les frais de la procédure de recours, constitués du seul émolument d’arrêt (cf. art. 422 al. 1 CPP), par 770 fr. (cf. art. 20 al. 1 TFIP [Tarif des frais de procédure et indemnités en matière pénale du 28 septembre 2010 ; BLV 312.03.1]), seront laissés à la charge de l’Etat (cf. art. 428 al. 4 CPP). La recourante, qui obtient gain de cause et qui a procédé avec l’assistance d’un mandataire professionnel, a droit, à la charge de l’Etat, à une juste indemnité pour les dépenses obligatoires occasionnées par la procédure de recours. Au vu du mémoire produit et de la nature de l’affaire, cette indemnité sera fixée à 1’050 fr., correspondant à 3 h 30 d’activité d’avocat au tarif horaire de 300 fr. (cf. art. 26a al. 3 TFIP), auxquels il convient d’ajouter des débours forfaitaires à concurrence de 2 % (cf. art. 19 al. 2 TDC [Tarif des dépens en matière civile du 23 novembre 2010 ; BLV 270.11.6], applicable par renvoi de l’art. 26a al. 6 TFIP), par 21 fr., plus un montant correspondant à la TVA, par 82 fr. 50, soit à 1’154 fr. au total en chiffres arrondis. Par ces motifs, la Chambre des recours pénale prononce : I. Le recours est admis. II. L’ordonnance du 3 janvier 2023 est annulée. III. Le dossier de la cause est renvoyé au Ministère public de l’arrondissement du Nord vaudois pour qu’il procède dans le sens des considérants. IV. Les frais d’arrêt, par 770 fr. (sept cent septante francs), sont laissés à la charge de l’Etat. V. Une indemnité de 1’154 fr. (mille cent cinquante-quatre francs) est allouée à A.W.________ pour la procédure de recours, à la charge de l’Etat. VI. L’arrêt est exécutoire. La présidente :               Le greffier : Du Le présent arrêt, dont la rédaction a été approuvée à huis clos, est notifié, par l'envoi d'une copie complète, à : - Me Jeton Kryeziu, avocat (pour A.W.________),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