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457 vom 2. Juni 2023</w:t>
      </w:r>
    </w:p>
    <w:p>
      <w:r>
        <w:t>VD Tribunal cantonal, 2023-06-02, FR</w:t>
      </w:r>
    </w:p>
    <w:p>
      <w:r>
        <w:rPr>
          <w:b/>
        </w:rPr>
        <w:t xml:space="preserve">Quelle: </w:t>
      </w:r>
      <w:r>
        <w:t>https://mcp.opencaselaw.ch/entscheid/vd_findinfo_D_cision___2023___457</w:t>
      </w:r>
    </w:p>
    <w:p>
      <w:r>
        <w:t>FR: VD_FINDINFO Décision / 2023 / 457 du 2 juin 2023</w:t>
      </w:r>
    </w:p>
    <w:p>
      <w:r>
        <w:t>IT: VD_FINDINFO Décision / 2023 / 457 del 2 giugno 2023</w:t>
      </w:r>
    </w:p>
    <w:p>
      <w:pPr>
        <w:pStyle w:val="Heading2"/>
      </w:pPr>
      <w:r>
        <w:t>Regeste</w:t>
      </w:r>
    </w:p>
    <w:p>
      <w:r>
        <w:t>ORDONNANCE DE NON-ENTRÉE EN MATIÈRE, DIFFAMATION, CALOMNIE, RÉSILIATION IMMÉDIATE, REJET DE LA DEMANDE | 173 CP, 174 CP, 310 CPP (CH)</w:t>
      </w:r>
    </w:p>
    <w:p>
      <w:pPr>
        <w:pStyle w:val="Heading2"/>
      </w:pPr>
      <w:r>
        <w:t>Erwägungen</w:t>
      </w:r>
    </w:p>
    <w:p>
      <w:r>
        <w:rPr>
          <w:b/>
        </w:rPr>
        <w:t>E. 1.1</w:t>
      </w:r>
    </w:p>
    <w:p>
      <w:r>
        <w:t>Les parties peuvent attaquer une ordonnance de non-entrée en matière rendue par le Ministère public (art. 310 CPP [Code de procédure pénale suisse du</w:t>
      </w:r>
    </w:p>
    <w:p>
      <w:r>
        <w:rPr>
          <w:b/>
        </w:rPr>
        <w:t>E. 1.2</w:t>
      </w:r>
    </w:p>
    <w:p>
      <w:r>
        <w:t>En l’espèce, interjeté en temps utile auprès de l’autorité compétente et dans les formes prescrites (art. 385 al. 1 CPP), par la partie plaignante qui a qualité pour recourir (art. 382 al. 1 CPP), le recours est recevable. 2. 2.1 La recourante invoque une violation du droit et une constatation incomplète des faits. Elle fait valoir que le procureur n’a pas pris en considération l’ensemble des éléments. Elle expose qu’S.________, par sa fonction hiérarchique élevée et dès lors qu’il était accompagné d’un employé des ressources humaines lors de l’entretien du 13 janvier 2022, ne pouvait ignorer la distinction entre un licenciement avec effet immédiat et une libération de l’obligation de travailler. Elle estime qu’un lecteur objectif interprèterait le contenu du courriel du 13 janvier 2022 en ce sens qu’elle a adopté un comportement à ce point grave qu’elle a été licenciée avec effet immédiat. Ainsi, et au vu de la teneur de la lettre de licenciement du 13 janvier 2022, S.________ aurait à dessein envoyé un courriel aux employés de l’entreprise au niveau romand en indiquant de manière erronée que la recourante avait été licenciée avec effet immédiat. Par conséquent, il serait indéniable qu’il n’apparaissait pas clairement que les faits n’étaient pas punissables ou que les conditions à la poursuite pénale n’étaient pas remplies. 2.2 Conformément à l'art. 310 al. 1 let. a CPP, le Ministère public rend immédiatement – c'est-à-dire sans qu'une instruction soit ouverte (art. 309 al. 1 et 4 CPP ; ATF 144 IV 81 consid. 2.3.3 ; Grodecki/Cornu, in : Jeanneret/Kuhn/Perrier Depeursinge [édit.], Code de procédure pénale suisse, Commentaire romand, 2 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 in dubio pro duriore »,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2.3 2.3.1 Aux termes de l'art. 173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La calomnie (art. 174 CP) est une forme qualifiée de diffamation, dont elle se distingue en ceci que les allégations attentatoires à l’honneur sont fausses et que l’auteur connaissait la fausseté de ses allégations. Les preuves libératoires de la vérité ou de la bonne foi n’ont donc pas de sens dans ce cadre (Dupuis et al., Petit commentaire du Code pénal, 2 e éd., Bâle 2017, n. 1 ad art. 174 CP). Ces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 ATF 132 IV 112 consid. 2.1).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et les références citées). Pour apprécier si une déclaration est attentatoire à l’honneur, il faut procéder à une interprétation objective, selon le sens qu’un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(ATF 148 IV 409 consid. 2.3.2 ; ATF 145 IV 462 consid. 4.2.3). 2.3.2 Comme précisé ci-dessus (cf. consid. 2.3.1), sur le plan objectif, la calomnie implique la formulation ou la propagation d’allégations de fait fausses, qui soient attentatoires à l’honneur de la personne visée (TF 6B_458/2021 du 3 mars 2022 consid. 3.1). Sur le plan subjectif, cette infraction suppose que l’auteur ait agi avec l’intention de tenir des propos attentatoires à l’honneur d’autrui et de les communiquer à des tiers, le dol éventuel étant suffisant à cet égard, et en outre qu’il ait su que ses allégations étaient fausses, ce qui implique une connaissance stricte, de sorte que, sur ce point, le dol éventuel ne suffit pas (ATF 136 IV 170 consid. 2.1). Dès lors que l’auteur d’une calomnie doit avoir eu connaissance de la fausseté de ses allégations, toute possibilité de preuve libératoire est exclue (TF 6B _458/2021 précité). 2.4 Conformément à la jurisprudence précitée, il convient de procéder à une interprétation objective du contenu du courriel du 13 janvier 2022 afin d’apprécier si celui-ci est attentatoire à l’honneur de la recourante. Avec le Ministère public, on considérera que le fait d’annoncer aux collaborateurs de l’entreprise que l’intéressée est licenciée avec effet immédiat – que cela soit à ce stade vrai ou faux – ne la fait pas en tant que telle passer pour une personne méprisable, mais sous-entend tout au plus qu’elle n’a pas les qualités professionnelles requises, et cette information n’entre pas dans la définition jurispru-dentielle de la diffamation. Il en aurait été peut-être différemment si le prévenu avait ajouté « pour justes motifs », expression laissant penser que la recourante aurait commis quelque chose de grave et donnant à ses collègues libre cours à toutes sortes d’interprétations. Or, le prévenu a explicitement indiqué dans son courriel les motifs du licenciement, à savoir que « La bonne entente et étroite collaboration, correspondant aux attentes et exigences d’aujourd’hui, n’étaient malheureusement plus envisageables pour le futur » (P. 9/2/7). Cette précision permettait, d’un point de vue objectif, d’exclure que le licenciement ait pu avoir été donné pour des motifs graves propres à faire apparaître la recourante comme méprisable. Si cette formulation présente effectivement l’intéressée de manière négative aux yeux des collaborateurs de l’entreprise, elle ne revêt cependant de loin pas l’intensité d’allégations portant atteinte à l’honneur. Ces propos apparaissent au contraire mesurés, sans accréditer quoi que ce soit de grave, contrairement à ce qu’affirme la recourante (cf. recours, p. 7, let. H). On rappellera encore que l’ interprétation objective nécessite de déterminer le sens que les collaborateurs de l’entreprise destinataires du courriel devaient, dans les circonstances d’espèce, attribuer aux propos litigieux. Dans ce cadre, les échanges survenus entre les parties, qui n’ont pas été communiqués aux tiers, ne peuvent donc pas être pertinents. Au vu de ce qui précède, il importe peu de savoir ce que pouvait ou non ignorer S.________ des différentes modalités de licenciements sur le plan juridique. Force est dès lors de conclure que, s’il contient certes une assertion fausse, le courriel du 13 janvier 2022 n’est pas attentatoire à la considération de la recourante. En conséquence de ce qui précède, l’élément constitutif objectif de l’atteinte à l’honneur, commun aux infractions de diffamation et de calomnie, fait défaut, de sorte que l’examen des éléments subjectifs est inutile. Aucune de ces infractions ne pouvant être retenue en l’espèce, c’est à juste titre que le Ministère public a refusé d’entrer en matière sur la plainte de la recourante. 4. En définitive, le recours, manifestement mal fondé, doit être rejeté sans échange d’écritures (art. 390 al. 2 CPP) et l’ordonnance du 19 janvier 2023 confirmée. Les frais de la procédure de recours, constitués du seul émolument d’arrêt,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19 janvier 2023 est confirmée. III. Les frais d’arrêt, par 880 fr. (huit cent huitante francs), sont mis à la charge de la recourante X.________. IV. L’arrêt est exécutoire. La présidente :               Le greffier : Du Le présent arrêt, dont la rédaction a été approuvée à huis clos, est notifié, par l'envoi d'une copie complète, à : - Me Guy Longchamp, avocat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