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439 vom 9. Mai 2023</w:t>
      </w:r>
    </w:p>
    <w:p>
      <w:r>
        <w:t>VD Tribunal cantonal, 2023-05-09, FR</w:t>
      </w:r>
    </w:p>
    <w:p>
      <w:r>
        <w:rPr>
          <w:b/>
        </w:rPr>
        <w:t xml:space="preserve">Quelle: </w:t>
      </w:r>
      <w:r>
        <w:t>https://mcp.opencaselaw.ch/entscheid/vd_findinfo_D_cision___2023___439</w:t>
      </w:r>
    </w:p>
    <w:p>
      <w:r>
        <w:t>FR: VD_FINDINFO Décision / 2023 / 439 du 9 mai 2023</w:t>
      </w:r>
    </w:p>
    <w:p>
      <w:r>
        <w:t>IT: VD_FINDINFO Décision / 2023 / 439 del 9 maggio 2023</w:t>
      </w:r>
    </w:p>
    <w:p>
      <w:pPr>
        <w:pStyle w:val="Heading2"/>
      </w:pPr>
      <w:r>
        <w:t>Regeste</w:t>
      </w:r>
    </w:p>
    <w:p>
      <w:r>
        <w:t>OUVERTURE DE LA PROCÉDURE, MESURE DE CONTRAINTE{PROCÉDURE PÉNALE}, ORDONNANCE DE NON-ENTRÉE EN MATIÈRE, ADMISSION DE LA DEMANDE | 309 CPP (CH), 310 CPP (CH), 318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la partie plaignante qui a qualité pour recourir (art. 382 al. 1 CPP) et satisfaisant aux conditions de forme prescrites (art. 385 al. 1 CPP), le recours est recevable. Les pièces nouvelles produites ainsi que la réplique sont également recevables (cf. art. 389 al. 3 CPP).</w:t>
      </w:r>
    </w:p>
    <w:p>
      <w:r>
        <w:rPr>
          <w:b/>
        </w:rPr>
        <w:t>E. 2.1</w:t>
      </w:r>
    </w:p>
    <w:p>
      <w:r>
        <w:t>Le recourant invoque que le Ministère public ne pouvait pas rendre une ordonnance de non-entrée en matière. Pour le reste, il plaide le fond, faisant valoir qu’il devait être procédé aux auditions de C. et S., dans la mesure où il serait hautement vraisemblable que l’auteur de l’appel soit lié à sa belle-famille. Il laisse également entendre que des actes d’instruction à l’étranger pourraient être utiles.</w:t>
      </w:r>
    </w:p>
    <w:p>
      <w:r>
        <w:rPr>
          <w:b/>
        </w:rPr>
        <w:t>E. 2.2</w:t>
      </w:r>
    </w:p>
    <w:p>
      <w:r>
        <w:t>Conformément à l'art. 310 al. 1 let. a CPP, le ministère public rend immédiatement – c'est-à-dire sans qu'une instruction soit ouverte (art. 309 al. 1 et 4 CPP ; Grodecki/Cornu, in : Jeanneret/ Kuhn/Perrier Depeursinge [éd.], Commentaire romand, Code de procédure pénale suisse, 2 e éd., Bâle 2019, n. 2 ad art. 310 CPP) – une ordonnance de non-entrée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à l'ouverture de l'action pénale ne sont manifestement pas réunis (TF 6B_1177/2022 du 21 février 2023 consid. 2.1). 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(TF 6B_89/2022 du 2 juin 2022 consid. 2.2 ; TF 1B_67/2012 du 29 mai 2012 consid. 2.1). Avant la reddition d'une ordonnance de non-entrée en matière, respectivement avant l'ouverture formelle d'une instruction, le Ministère public peut ouvrir une enquête préliminaire, qui est limitée aux investigations de la police (art. 300 al. 1 et 306 s. CPP ; TF 6B_89/2022 précité consid. 2.2 ; TF 1B_67/2012 précité consid. 2.1 et 2.2). Il peut demander à la personne mise en cause une simple prise de position (TF 6B_89/2022 précité consid. 2.2). Le Ministère public ne peut en revanche plus rendre une ordonnance de non-entrée en matière lorsqu'il a ouvert une instruction (TF 6B_425/2022 du 15 février 2023 consid. 4.1.1). Si une instruction au sens de l'art. 309 CPP a été ouverte, formellement ou matériellement, il doit la clôturer formellement (art. 318 CPP), puis rendre une ordonnance de classement (art. 319 ss CPP ; TF 6B_425/2022 précité consid. 4.1.1 ; 6B_89/2022 précité consid. 2.2). L’instruction pénale est considérée comme ouverte dès que le Ministère public commence à s’occuper de l’affaire. Cela est en tout état le cas lorsque le ministère public ordonne des mesures de contrainte (art. 309 al. 1 let. b CPP ; TF 6B_89/2022 précité consid. 2.2). Avant l'ouverture d'une instruction, le droit de participer à l'administration des preuves ne s'applique en principe pas (art. 147 al. 1 CPP a contrario ; cf. ATF 143 IV 397 consid. 3.3.2 in fine ; ATF 140 IV 172 consid. 1.2.2), et ce y compris en cas d'investigations policières diligentées à titre de complément d'enquête requis par le ministère public en vertu de l'art. 309 al. 2 CPP (TF 6B_89/2022 précité consid. 2.2 ; arrêts 6B_488/2021 du 22 décembre 2021 consid. 4.2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6B_89/2022 précité consid. 2.2 ; TF 6B_488/2021 précité consid. 4.2 ; TF 6B_290/2020 précité consid. 2.2 et les références citées). Lorsque la partie recourante n'a subi aucun dommage du fait que le ministère public a rendu une ordonnance de non-entrée en matière au lieu d'une ordonnance de classement, il ne se justifie pas de l'annuler pour ce seul motif (TF 6B_425/2022 précité consid. 4.1.1 ; TF 6B_866/2021 du 15 août 2022 consid. 2.2.1 ; TF 6B_546/2021 du 11 avril 2022 consid. 3.1  ; TF 6B_875/2018 du 15 novembre 2018 consid. 2.2.2 et les références citées).</w:t>
      </w:r>
    </w:p>
    <w:p>
      <w:r>
        <w:rPr>
          <w:b/>
        </w:rPr>
        <w:t>E. 2.3</w:t>
      </w:r>
    </w:p>
    <w:p>
      <w:r>
        <w:t>En l’espèce, le Ministère public a entrepris des opérations dépassant le cadre des premières investigations, dès lors qu’il a ordonné une mesure de contrainte, en requérant la surveillance rétroactive du numéro de téléphone portable du plaignant. La procureure a du reste, à juste titre, préalablement à cette mesure, formellement ouvert une instruction pénale le 5 septembre 2022 (PV des opérations p. 2). Dès lors, en vertu des règles et principes rappelés ci-dessus (cf. consid. 2.2), il incombait à la procureure de notifier un avis de prochaine clôture au plaignant afin de lui conférer la faculté de prendre position et de présenter des éventuelles réquisitions de preuve, puis de clôturer formellement la procédure, avant de rendre le cas échéant une ordonnance de classement, ce qu’elle n’a pas fait. Il en résulte un préjudice pour le recourant, en matière de droit d'être entendu, en tant qu’il n’a pas eu la possibilité, dans le cadre de l’instruction pénale déjà ouverte, de présenter d’éventuelles réquisitions de preuve complémentaires et de compléter son argumentation, étant rappelé qu’il requiert l’audition de son épouse et de la sœur de celle-ci, tout en laissant au demeurant entendre que des actes d’instruction à l’étranger pourraient s’avérer nécessaires. Le vice ne peut donc pas être réparé dans la procédure de recours.</w:t>
      </w:r>
    </w:p>
    <w:p>
      <w:r>
        <w:rPr>
          <w:b/>
        </w:rPr>
        <w:t>E. 3</w:t>
      </w:r>
    </w:p>
    <w:p>
      <w:r>
        <w:t>Au vu de ce qui précède, le recours doit être admis, l’ordonnance contestée annulée et le dossier de la cause renvoyé au Ministère public pour qu'il procède dans le sens des considérants. Vu l’admission du recours, les frais de la procédure, constitués en l’espèce du seul émolument d'arrêt, par 770 fr. (art. 20 al. 1 TFIP [Tarif des frais de procédure et indemnités en matière pénale du 28 septembre 2010; BLV 312.03.1]), seront laissés à la charge de l’Etat (art. 428 al. 4 CPP). Le recourant, qui a procédé avec l’assistance d’un mandataire qualifié et qui a obtenu gain de cause sur ses conclusions, a droit, à la charge de l’Etat, à une indemnité pour ses dépenses obligatoires occasionnées par la procédure de recours (art. 436 al. 3 CPP, par analogie; cf. not. TF 6B_380/2021 du 21 juin 2022 consid. 2.4.1; TF 6B_2/2021 du 25 juin 2021 consid. 1.1 in initio; TF 6B_1324/2015 du 23 novembre 2016 consid. 2.2). Le recourant réclame à ce titre une indemnité pour le mémoire de recours de 3'166 fr. 40 correspondant à 8 heures d’activité au tarif horaire de 350 fr., plus 593 fr. 70 pour la réplique correspondant à 1h30 d’activité au même tarif. Le tarif horaire sera fixé à 300 fr. pour tenir compte du degré de complexité moyen de la cause et non à 350 fr., comme requis, tarif qui s’applique aux cause complexes (art. 26a al. 3 TFIP). Au vu des écritures produites, soit le mémoire de recours – qui compte une page pour la recevabilité, six pages de faits et deux pages relatives aux moyens juridiques, ainsi qu’une page de garde, une page de huit lignes sur l’indemnité à forme de l’art. 433 CPP et une page de conclusions – et la réplique spontanée – qui compte une page et demie –, la durée de 9h30 est trop élevée. Au vu de l’ampleur relative de ces écritures et des moyens pertinents invoqués, les honoraires doivent être fixés à 1'200 fr., correspondant à quatre heures d’activité nécessaire d’avocat au tarif horaire de 300 francs. Aux honoraires retenus il convient d’ajouter les débours forfaitaires de 2 % (et non de 5%, taux applicable en première instance), par 24 fr. (cf. art. 26a TFIP qui renvoie à l'art. 19 al. 2 TDC [tarif des dépens en matière civile du 23 novembre 2010; BLV 270.11.6]), ainsi qu’un montant correspondant à la TVA, par 94 fr. 25. L’indemnité s’élève donc à 1’319 fr. en chiffres arrondis. Par ces motifs, la Chambre des recours pénale prononce : I. Le recours est admis. II. L’ordonnance du 4 novembre 2022 est annulée. III. Le dossier de la cause est renvoyé au Ministère public de l’arrondissement de Lausanne pour qu’il procède dans le sens des considérants. IV. Une indemnité de 1’319 fr. (mille trois cent dix-neuf francs) est allouée au recourant pour la procédure de recours, à la charge de l’Etat. V. Les frais d’arrêt, par 770 fr. (sept cent septante francs), sont laissés à la charge de l’Etat. VI. L’arrêt est exécutoire. La présidente :               La greffière : Du Le présent arrêt, dont la rédaction a été approuvée à huis clos, est notifié, par l'envoi d'une copie complète, à : - Me Laure Héritier, avocate (pour 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