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415 vom 28. April 2023</w:t>
      </w:r>
    </w:p>
    <w:p>
      <w:r>
        <w:t>VD Tribunal cantonal, 2023-04-28, FR</w:t>
      </w:r>
    </w:p>
    <w:p>
      <w:r>
        <w:rPr>
          <w:b/>
        </w:rPr>
        <w:t xml:space="preserve">Quelle: </w:t>
      </w:r>
      <w:r>
        <w:t>https://mcp.opencaselaw.ch/entscheid/vd_findinfo_D_cision___2023___415</w:t>
      </w:r>
    </w:p>
    <w:p>
      <w:r>
        <w:t>FR: VD_FINDINFO Décision / 2023 / 415 du 28 avril 2023</w:t>
      </w:r>
    </w:p>
    <w:p>
      <w:r>
        <w:t>IT: VD_FINDINFO Décision / 2023 / 415 del 28 aprile 2023</w:t>
      </w:r>
    </w:p>
    <w:p>
      <w:pPr>
        <w:pStyle w:val="Heading2"/>
      </w:pPr>
      <w:r>
        <w:t>Regeste</w:t>
      </w:r>
    </w:p>
    <w:p>
      <w:r>
        <w:t>DÉFENSE D'OFFICE, DÉCISION D'IRRECEVABILITÉ | 135 CPP (CH), 393 al. 1 let. a CPP (CH)</w:t>
      </w:r>
    </w:p>
    <w:p>
      <w:pPr>
        <w:pStyle w:val="Heading2"/>
      </w:pPr>
      <w:r>
        <w:t>Erwägungen</w:t>
      </w:r>
    </w:p>
    <w:p>
      <w:r>
        <w:rPr>
          <w:b/>
        </w:rPr>
        <w:t>E. 1.1</w:t>
      </w:r>
    </w:p>
    <w:p>
      <w:r>
        <w:t>A teneur de l'art. 393 al. 1 let. a CPP, le recours est ouvert contre les décisions et les actes de procédure de la police, du ministère public et des autorités pénales compétentes en matière de contraventions. La loi soumet toutefois la qualité pour recourir à l’existence d’un intérêt juridiquement protégé par l’annulation ou à la modification de la décision litigieuse (art. 382 al. 1 CPP). Cet intérêt doit être actuel et pratique (ATF 144 IV 81 consid. 2.3.1 ; ATF 137 I 296 consid. 4.2 ; TF 6B_112/2022 du 16 novembre 2022 consid. 1.2 ; TF 1B_438/2016 du 14 mars 2017 consid. 2.1). De cette manière, les tribunaux sont assurés de trancher uniquement des questions concrètes et non de prendre des décisions à caractère théorique (ATF 144 IV 81 précité ; ATF 140 IV 74 consid. 1.3.1). Ainsi, l’existence d’un intérêt de pur fait ou la simple perspective d’un intérêt juridique futur ne suffit pas (TF 1B_438/2016 précité consid. 2.1 ; TF 1B_380/2016 du 6 décembre 2016 consid. 2 ; TF 1B_390/2015 du 16 décembre 2015 consid. 2.1 et les arrêts cités). Une partie qui n’est pas concrètement lésée par la décision ne possède donc pas la qualité pour recourir et son recours est irrecevable (TF 6B_112/2022 du 16 novembre 2022 consid. 1.2 ; TF 1B_438/2016 précité consid. 2.1 ; TF 1B_669/2012 du 12 mars 2013 consid. 2.3.1 et la référence citée ; Piquerez/Macaluso, Procédure pénale suisse, 3 e éd., Genève 2011, p. 632, n. 1911).</w:t>
      </w:r>
    </w:p>
    <w:p>
      <w:r>
        <w:rPr>
          <w:b/>
        </w:rPr>
        <w:t>E. 1.2</w:t>
      </w:r>
    </w:p>
    <w:p>
      <w:r>
        <w:t>Aux termes de l’art. 135 al. 1 CPP, le défenseur d’office est indemnisé conformément au tarif des avocats de la Confédération ou du canton du for du procès. Selon l’art. 135 al. 2 CPP, le Ministère public ou le Tribunal qui statue au fond fixent l’indemnité à la fin de la procédure. L’art. 135 al. 3 CPP prévoit que le défenseur d’office peut recourir : devant l’autorité de recours contre la décision du ministère public ou du tribunal de première instance fixant l’indemnité (let. a), et devant le Tribunal pénal fédéral contre la décision de l’autorité de recours ou de la juridiction d’appel. Tenu d’accepter les défenses d’office dans le canton au registre duquel il est inscrit (art. 12 let. g LLCA (loi fédérale du 23 juin 2000 sur la libre circulation des avocats ; RS 935.61), l’avocat désigné en qualité de défenseur d’office (art. 132 al. 1 CPP) accomplit une tâche étatique qui lui confère une prétention de droit public à être rémunéré (ATF 141 IV 344 consid. 3.2 ; TF 6B_1362/2021 du 26 janvier 2023 consid. 4.1.2 destiné à la publication ; TF 6B_935/2020 du 25 février 2021 consid. 6.3 ; TF 6B_466/2020 du</w:t>
      </w:r>
    </w:p>
    <w:p>
      <w:r>
        <w:rPr>
          <w:b/>
        </w:rPr>
        <w:t>E. 1.3</w:t>
      </w:r>
    </w:p>
    <w:p>
      <w:r>
        <w:t>En l’espèce, le recourant a mandaté un défenseur de choix en la personne de Me Albert J. Graf. L’ordonnance attaquée a donc relevé Me Juliette Perrin de sa mission de défenseur d’office du recourant, a arrêté le montant de son indemnité à 10'633 fr. 15 et a dit que les frais de sa décision suivaient le sort de la cause. Comme exposé au considérant qui précède, l’avocate d’office relevée de sa mission avait le droit de recourir immédiatement pour contester le montant de son indemnité. En revanche, le prévenu, comme le soutient à juste titre le Ministère public, n’étant à ce stade pas condamné à supporter les frais de procédure – qui comprennent les débours que sont les frais imputables à la défense d’office –, n’est, dès lors, pas concrètement lésé par l’ordonnance attaquée. 2. Il résulte de ce qui précède que le recours doit être déclaré irrecevable. Les frais de la procédure de recours, par 660 fr. (art. 21 al. 1 TFIP [Tarif des frais de procédure et indemnités en matière pénale du 28 septembre 2010 BLV 312.03.1]), sont mis à la charge du recourant, qui succombe (art. 428 al. 1 CPP). Par ces motifs, la Chambre des recours pénale prononce : I. Le recours est irrecevable. II. Les frais d’arrêt, par 660 fr. (six-cent-soixante francs), sont mis à la charge de W.________. III. L’arrêt est exécutoire. La présidente :               La greffière : Du Le présent arrêt, dont la rédaction a été approuvée à huis clos, est notifié, par l'envoi d'une copie complète, à : - Me Juliette Perrin, avocate, - Me Albert J. Graf, avocat (pour W.________), - Ministère public central, et communiqué à : ‑ M. le Procureur du Ministère public central division affaires spéciales,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septembre 2020 consid. 2.3) ; l’avocat d’office ne compte pas parmi les parties ou autres participants désignés par les art. 104 et 105 CPP ; sa qualité pour recourir contre la fixation de son indemnité ne résulte pas de l’art. 382 CPP, mais de la réglementation spéciale prévue par l’art. 135 al. 3 CPP (ATF 143 IV 40 consid. 3.2.2 ; ATF 140 IV 213 consid. 1.4 ; ATF 139 IV 199 consid. 5.2, ; TF 6B_1362/2021 du 26 janvier 2023 consid. 4.1.3 destiné à la publication ; TF 6B_451/2016 du</w:t>
      </w:r>
    </w:p>
    <w:p>
      <w:r>
        <w:rPr>
          <w:b/>
        </w:rPr>
        <w:t>E. 8</w:t>
      </w:r>
    </w:p>
    <w:p>
      <w:r>
        <w:t>février 2017 consid. 2.3). La situation du prévenu est différente. En effet, celui-ci est une partie à la procédure (art. 104 al. 1 let. a CPP) et, comme le prévoit l’art. 421 al. 1 CPP, l’autorité pénale fixe les frais – lesquels comprennent les émoluments visant à couvrir les frais et les débours effectivement supportés, par quoi il faut entendre notamment les frais imputables à la défense d’office du prévenu (cf. art. 422 al. 1 et 2 let. a CPP) – dans la décision finale. Conformément à l’art. 135 al. 4 CPP, ce n’est donc que lorsque le prévenu est condamné à supporter les frais de procédure, et qu’il est tenu à rembourser les frais d’honoraires à la Confédération ou au canton dès que sa situation financière le permet (let. a), qu’il est concrètement lésé dans ses droits en relation avec la fixation des frais imputables à la défense d’office, au sens de l’art. 382 al. 1 CPP et la jurisprudence y relative ; si le prévenu condamné à supporter les frais estime que l’indemnité est trop élevée, il lui appartient dès lors d’agir par la voie du recours ou de l’appel (cf. supra consid. 1.1, Harari/Jakob/Santamaria, in : Jeanneret/Kuhn/Perrier Depeursinge [éd.], Commentaire romand, Code de procédure pénale suisse, 2 e éd., Bâle 2019, n. 38 ad art. 135 CPP et les références citées ; Ruckstuhl, in : Niggli/Heer/Wiprächtiger [éd.], Basler Kommentar, Schweizerische Strafprozessordnung, t. II, 2 e éd. 2014, n. 16 ad art. 135 CPP ; TPF BB.2017.63 du 26 juillet 2017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