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408 vom 22. Mai 2023</w:t>
      </w:r>
    </w:p>
    <w:p>
      <w:r>
        <w:t>VD Tribunal cantonal, 2023-05-22, FR</w:t>
      </w:r>
    </w:p>
    <w:p>
      <w:r>
        <w:rPr>
          <w:b/>
        </w:rPr>
        <w:t xml:space="preserve">Quelle: </w:t>
      </w:r>
      <w:r>
        <w:t>https://mcp.opencaselaw.ch/entscheid/vd_findinfo_D_cision___2023___408</w:t>
      </w:r>
    </w:p>
    <w:p>
      <w:r>
        <w:t>FR: VD_FINDINFO Décision / 2023 / 408 du 22 mai 2023</w:t>
      </w:r>
    </w:p>
    <w:p>
      <w:r>
        <w:t>IT: VD_FINDINFO Décision / 2023 / 408 del 22 maggio 2023</w:t>
      </w:r>
    </w:p>
    <w:p>
      <w:pPr>
        <w:pStyle w:val="Heading2"/>
      </w:pPr>
      <w:r>
        <w:t>Regeste</w:t>
      </w:r>
    </w:p>
    <w:p>
      <w:r>
        <w:t>ORDONNANCE DE NON-ENTRÉE EN MATIÈRE, DISCOURS DE HAINE, IN DUBIO PRO DURIORE | 261bis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w:t>
      </w:r>
    </w:p>
    <w:p>
      <w:r>
        <w:t>mars 1992 concernant l’adhésion de la Suisse à la Convention internationale de 1965 sur l’élimination de toutes les formes de discrimination raciale et la révision correspondante du droit pénal, FF 1992 III 269 ss, p. 312 ch. 636.1). La propagande peut objectivement se manifester par n’importe quel mode de commission, par ex. en donnant une conférence, en prêtant ou en distribuant des écrits, en exposant des photos, en portant des insignes, même en effectuant certains gestes. Sur le plan subjectif, la notion de propagande ne nécessite pas uniquement le fait de savoir que l’acte en question sera perçu par des tiers, mais nécessite également l’intention, non seulement d’exprimer une idée, mais d’en faire la publicité, c’est-à-dire agir sur des tiers pour qu’ils deviennent acquis à cette idée ou, s’ils le sont déjà, de les conforter dans leurs convictions (ATF 140 IV 102 consid. 2.2 et les références citées : JdT 2015 IV 52). Le Tribunal fédéral a ainsi jugé que le salut hitlérien effectué en public ne réalise les éléments constitutifs de l’infraction de discrimination raciale que si son auteur ne se limite pas à afficher ses convictions nationales-socialistes personnelles, mais vise au contraire à propager cette idéologie auprès de tiers (ATF 140 IV 102 consid. 2.2.5, 2.3 et 2.4 : JdT 2015 IV 52). Selon l'art. 261bis al. 4 première partie CP, l'auteur doit rabaisser ou discriminer une personne ou un groupe de personnes « d'une façon qui porte atteinte à la dignité humaine » (« in einer gegen die Menschenwürde verstossenden Weise »; « lesivo della dignità umana ») (ATF 143 IV 308 consid. 4.1). La règle de l'art. 261bis al. 4 du projet du Conseil fédéral était semblable et prévoyait que se rendait coupable de l'infraction celui qui avait publiquement « porté atteinte à la dignité humaine » d'une personne ou d'un groupe de personnes en raison de leur appartenance raciale, ethnique ou religieuse. Cette exigence a manifestement pour but de restreindre le champ d'application de la norme pénale. Selon le Message, à la différence des délits contre l'honneur, il ne s'agit pas d'une atteinte à l'honneur de la victime. C'est sa qualité d'être humain qui lui est tout simplement déniée (Message du 2 mars 1992 concernant l'adhésion de la Suisse à la Convention internationale de 1965 sur l'élimination de toutes les formes de discrimination raciale et la révision y relative du droit pénal, FF 1992 III 265 ss, 308 s. ch. 636.2). Cette interprétation est toutefois trop étroite, comme le relève aussi la doctrine (par ex : Trechsel/Vest, in Schweizerisches Strafgesetzbuch, Praxiskommentar, 2 e éd. 2013, n° 34 ad art. 261bis CP). On doit ainsi admettre qu'un rabaissement porte atteinte à la dignité humaine au sens de l'art. 261bis al. 4 CP lorsque la personne visée est traitée comme un être humain de deuxième classe (ATF 143 IV 308 consid. 4.1 ; ATF 140 IV 67 consid. 2.5.1). Constituent un rabaissement ou une discrimination au sens de cette norme tous les comportements qui dénient à des membres de groupes humains, en raison de leur race, de leur appartenance ethnique ou de leur religion – et désormais de leur orientation sexuelle –, une valeur égale en tant qu'être humain ou des droits de l'homme identiques, ou du moins, qui remettent en question cette égalité (ATF 143 IV 193 consid. 1 ; ATF 140 IV 67 consid.</w:t>
      </w:r>
    </w:p>
    <w:p>
      <w:r>
        <w:rPr>
          <w:b/>
        </w:rPr>
        <w:t>E. 2.1.1</w:t>
      </w:r>
    </w:p>
    <w:p>
      <w:r>
        <w:t>; ATF 133 IV 308 consid. 8.2 et les références citées ; TF 6B_644/2020 du 14 octobre 2020, consid. 1.2). Une affirmation xénophobe, de mauvais goût, amorale ou choquante sur le plan moral ou encore inconvenante ou non civilisée en rapport avec une ethnie, une race ou une religion n'est pas encore constitutive de discrimination raciale (ATF 143 IV 308 consid. 4.1 ; Niggli, Discrimination raciale, Un commentaire au sujet de l'art. 261bis CP et de l'art. 171c CPM, 2000, n. 945 p. 250). C'est ainsi que les termes tels que « Sau » (cochon), « Dreck » (... « de merde ») et autres similaires, utilisés de manière répandue dans le langage allemand dans le cadre d'expressions de mauvaise humeur et de manifestations de mécontentement, pour offenser une autre personne en raison de son sexe, de son orientation sexuelle ou de particularités physiques ou intellectuelles, étaient ressenties comme de simples injures et non comme des atteintes à la dignité humaine. Il n'en va pas différemment s'agissant de l'utilisation de ces mêmes termes et autres similaires en relation avec des nationalités, respectivement des ethnies particulières. De telles expressions sont, en tout cas aussi longtemps qu'elles sont dirigées contre une personne concrète, comprises par un tiers moyen non averti comme des atteintes à l'honneur motivées par des considérations xénophobes plus ou moins primitives, et non comme des atteintes racistes à la dignité humaine. Elles ne remplissent ainsi pas les éléments constitutifs de l'infraction à l'art. 261bis al. 4 première partie CP (ATF 143 IV 308 consid. 4.1 ; ATF 140 IV 67 consid. 2.5.2 et les références citées). L'infraction réprimée par l'art. 261bis CP prévoit que l'auteur doit agir publiquement. Savoir si un acte a été commis publiquement, au sens d'une infraction déterminée, dépend principalement du bien juridique protégé et du motif pour lequel le caractère public a été érigé en élément constitutif (ATF 130 IV 111 consid. 4.3). Au sens de l'art. 261bis CP, sont prononcées publiquement les allégations qui n'interviennent pas dans un cadre privé, soit dans un cercle familial ou d'amis ou dans un environnement de relations personnelles ou empreint d'une confiance particulière (ATF 130 IV 111 consid. 5.2 ; TF 6B_734/2016 du 18 juillet 2017 consid. 5.1 non publié in ATF 143 IV 308). Le point de savoir si un acte a eu lieu dans un cercle privé doit être tranché sur la base des circonstances concrètes du cas, parmi lesquelles le nombre de personnes présentes peut jouer un rôle sans être en lui-même prépondérant (ATF 143 IV 308 consid. 5.2.2). Du point de vue subjectif, le délit est intentionnel, le dol éventuel pouvant suffire (ATF 148 IV 113 consid. 3; ATF 145 IV 23 consid. 2.3; TF 6B_1126/2020 du 10 juin 2021 consid. 2.1.3; TF 6B_350/2019 du 29 mai 2019 consid. 1.1 ; TF 6B_777/2022 du 16 mars 2023, consid. 1.1.3, destiné à publication).</w:t>
      </w:r>
    </w:p>
    <w:p>
      <w:r>
        <w:rPr>
          <w:b/>
        </w:rPr>
        <w:t>E. 2.1.2</w:t>
      </w:r>
    </w:p>
    <w:p>
      <w:r>
        <w:t>Aux termes de l'art. 261bis CP, dans sa teneur en vigueur jusqu'au 30 juin 2020, se rendent notamment coupables de discrimination raciale celui qui, publiquement, aura incité à la haine ou à la discrimination envers une personne ou un groupe de personnes en raison de leur appartenance raciale, ethnique ou religieuse (al. 1) ainsi que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Depuis le 1 er juillet 2020, et l'entrée en vigueur à cette date de la nouvelle du 14 décembre 2018 (RO 2020 p. 1609), la portée de la disposition est étendue à la discrimination, au rabaissement et à l'incitation à la haine en raison de l'orientation sexuelle (TF 6B_777/2022 du 16 mars 2023, consid. 1.1.1, destiné à publication). L'art. 261bis CP vise notamment à protéger la dignité que tout homme acquiert dès la naissance et l'égalité entre les êtres humains. En protégeant l'individu notamment du fait de son appartenance à un groupe ethnique ou religieux – et désormais de son orientation sexuelle -, la paix publique est indirectement protégée (ATF 148 IV 188 consid. 1.3; ATF 148 IV 113 consid. 3; ATF 140 IV 67 consid. 2.1.1; ATF 133 IV 308 consid. 8.2 et les références citées; TF 6B_777/2022 du 16 mars 2023, consid. 1.1.1, destiné à publication). Selon le Tribunal fédéral, le simple fait de revendiquer publiquement son appartenance à une idéologie de discrimination raciale ne suffit pas à ce que les éléments constitutifs de l’art. 261bis al. 2 CP soient réalisés. Cette disposition exige en effet que l’auteur « propage » cette idéologie raciste. Par « propagation », il faut entendre « en faire la publicité », « faire de la propagande », comme cela ressort des textes français et italien (« celui qui ... aura propagé une idéologie ... » ; « chiunque propaga ... un’ideologia ... »). La propagande poursuit l’objectif d’acquérir des tiers à son idéologie ou de renforcer leurs convictions (Message du Conseil fédéral du</w:t>
      </w:r>
    </w:p>
    <w:p>
      <w:r>
        <w:rPr>
          <w:b/>
        </w:rPr>
        <w:t>E. 2.2</w:t>
      </w:r>
    </w:p>
    <w:p>
      <w:r>
        <w:t>En l’espèce, le recourant allègue en substance que K.________ le traitait régulièrement de « pédé », qu’à une reprise, il lui avait dit que dans les années 30, il n’y avait pas de « pédés », qu’il avait à une autre occasion feint de vouloir poursuivre son chemin avec lui en disant que c’était parce qu’il était « pédé » et de s’être ensuite moqué de lui avec un tiers, qu’à une autre reprise encore, il avait imité un couple efféminé d’homosexuels avec un de ses amis en se plaignant de ce que ce dernier l’ « enculait » depuis deux semaines et qu’il avait « le trou du cul grand comme ça » et, enfin, que K.________ aurait notamment dessiné des croix gammées dans les locaux du théâtre[...] ce qui l’aurait heurté, des milliers d’homosexuels ayant été assassinés par le régime nazi. Selon le recourant, tous les comportements dénoncés se sont produits à l’occasion d’événements organisés par la société d’étudiants [...] alors que d’autres membres de cette société, et parfois même des invités issus d’autres associations d’étudiants, étaient présents. S’il est effectivement probable que X.________ en connaissait un certain nombre, on ne peut pas pour autant admettre que toutes ces personnes faisaient partie de son cercle d’amis rapprochés ni même qu’il avait noué avec chacune d’elle une relation de confiance particulière. Les inscriptions dénoncées ont quant à elles été apposées dans les locaux du théâtre du [...], soit dans un lieu accessible au public. C’est donc à tort que le procureur a considéré que K.________ n’avait pas agi publiquement. Cela ne signifie toutefois pas encore que l’ordonnance entreprise est infondée. S’agissant tout d’abord des inscriptions dénoncées, soit des croix gammées, on rappellera qu’après avoir envisagé de sanctionner spécifiquement l’utilisation publique de symboles extrémistes, le Conseil fédéral puis le Parlement y ont finalement renoncé (cf. sur ce point ATF 140 IV 102 consid. 2.2.4 : JdT 2015 IV 52). L’usage public d’un symbole représentant des idéologies racistes – à l’instar d’une croix gammée qui est caractéristique du national-socialisme – peut toutefois tomber sous le coup de l’art. 261bis al. 2 CP, à la condition cependant qu’il soit utilisé dans un but de propagande, soit dans le but de propager cette idéologie auprès du public. Or, rien ne permet de considérer que les inscriptions dénoncées auraient, dans le cas d’espèce, été apposées dans le but d’acquérir des tiers à l’idéologie nazie ou de les renforcer dans leurs convictions. Le recourant ne le soutient d’ailleurs pas. En ce qui concerne les autres comportements et propos reprochés à K.________, ils ne sont pas constitutifs de l’infraction prévue à l’art. 261bis al.</w:t>
      </w:r>
    </w:p>
    <w:p>
      <w:r>
        <w:rPr>
          <w:b/>
        </w:rPr>
        <w:t>E. 4</w:t>
      </w:r>
    </w:p>
    <w:p>
      <w:r>
        <w:t>CP. En effet, pour un tiers moyen non averti, le fait de traiter une personne de « pédé », de se moquer d’elle en faisant référence – même lourdement – à certaines pratiques sexuelles ou de la provoquer en prétendant qu’à une autre époque les homosexuels n’existaient pas, ne la fait pas apparaître comme étant de moindre valeur du point de vue de la dignité humaine. On peut donc uniquement voir dans ces comportements primitifs l’expression d’atteintes à l’honneur fondées sur des considérations homophobes qui auraient pu être sanctionnées à titre d’injure (cf. sur ce point TF 6B_673/2019 du 31 octobre 2019, consid. 3.1.2) si le recourant avait déposé plainte en temps utile ce qu’il n’a toutefois pas fait. Il résulte de ce qui précède que les faits dénoncés ne réalisent pas les éléments constitutifs des infractions prévues aux al. 2 et 4 de l’art. 261bis CP. On ne voit pas – et le recourant ne le précise pas – quels autres alinéas ou infractions pourraient entrer en ligne de compte. C’est donc en définitive à juste titre que le procureur a refusé d’entrer en matière. 3. Au vu de ce qui précède, le recours, manifestement mal fondé, doit être rejeté sans échange d’écritures (cf. art. 390 al. 2 CPP) et l’ordonnance du 18 janvier 2023 confirmée. La requête d’assistance judiciaire doit être rejetée, dès lors que le recours était manifestement dénué de chances de succès et qu’il en va de même d’éventuelles conclusions civiles, que le recourant n’a du reste pas articulées (art. 136 al. 1 let. b CPP). Les frais de la procédure de recours, constitués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janvier 2023 est confirmée. III. La requête d’assistance judiciaire est rejetée. IV. Les frais d’arrêt, par 1'100 fr. (mille cent francs), sont mis à la charge de X.________. V. L’arrêt est exécutoire. La présidente :               La greffière : Du Le présent arrêt, dont la rédaction a été approuvée à huis clos, est notifié, par l'envoi d'une copie complète, à : - M. X.________, - Ministère public central, et communiqué à : ‑ M. le Procureur de l’arrondissement de Lausanne, - Me Albert Habib, avocat (pour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