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379 vom 28. April 2023</w:t>
      </w:r>
    </w:p>
    <w:p>
      <w:r>
        <w:t>VD Tribunal cantonal, 2023-04-28, FR</w:t>
      </w:r>
    </w:p>
    <w:p>
      <w:r>
        <w:rPr>
          <w:b/>
        </w:rPr>
        <w:t xml:space="preserve">Quelle: </w:t>
      </w:r>
      <w:r>
        <w:t>https://mcp.opencaselaw.ch/entscheid/vd_findinfo_D_cision___2023___379</w:t>
      </w:r>
    </w:p>
    <w:p>
      <w:r>
        <w:t>FR: VD_FINDINFO Décision / 2023 / 379 du 28 avril 2023</w:t>
      </w:r>
    </w:p>
    <w:p>
      <w:r>
        <w:t>IT: VD_FINDINFO Décision / 2023 / 379 del 28 aprile 2023</w:t>
      </w:r>
    </w:p>
    <w:p>
      <w:pPr>
        <w:pStyle w:val="Heading2"/>
      </w:pPr>
      <w:r>
        <w:t>Regeste</w:t>
      </w:r>
    </w:p>
    <w:p>
      <w:r>
        <w:t>DÉCISION D'IRRECEVABILITÉ, RÉCUSATION | 56 CPP (CH)</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Conformément à l'art. 58 al. 1 CPP, lorsqu'une partie entend demander la récusation d'une personne qui exerce une fonction au sein d'une autorité pénale, elle doit présenter sans délai à la direction de la procédure une demande en ce sens, dès qu'elle a connaissance du motif de récusation, c'est-à-dire dans les six à sept jours qui suivent la connaissance de la cause de récusation (TF 1B_65/2022 du 18 mars 2022 consid. 3.1 et les réf. citées), sous peine de déchéance (ATF 140 I 271 consid. 8.4.3 et les arrêts cités). Les faits sur lesquels elle fonde sa demande doivent être rendus plausibles.</w:t>
      </w:r>
    </w:p>
    <w:p>
      <w:r>
        <w:rPr>
          <w:b/>
        </w:rPr>
        <w:t>E. 1.2</w:t>
      </w:r>
    </w:p>
    <w:p>
      <w:r>
        <w:t>En l’espèce, F.________ a déposé sa requête de récusation le jour où il a pris connaissance du jugement motivé du 16 janvier 2023, de sorte qu’elle est recevable. Dès lors que cette demande est dirigée contre des magistrats de première instance, la Chambre des recours pénale du Tribunal cantonal (art. 13 al. 1 LVCPP [Loi d’introduction du Code de procédure pénale suisse du 19 mai 2009 ; BLV 312.01]) est compétente pour statuer.</w:t>
      </w:r>
    </w:p>
    <w:p>
      <w:r>
        <w:rPr>
          <w:b/>
        </w:rPr>
        <w:t>E. 2.1</w:t>
      </w:r>
    </w:p>
    <w:p>
      <w:r>
        <w:t>Le requérant soutient que les magistrats visés par sa requête seraient suspects de prévention dès lors qu’aux termes du jugement qu’ils ont rendu le 16 janvier 2023, ils le considéreraient déjà coupable de la rixe dont il est accusé, en violation du principe de la présomption d’innocence.</w:t>
      </w:r>
    </w:p>
    <w:p>
      <w:r>
        <w:rPr>
          <w:b/>
        </w:rPr>
        <w:t>E. 2.2</w:t>
      </w:r>
    </w:p>
    <w:p>
      <w:r>
        <w:t>Un magistrat est récusable pour l'un des motifs prévus aux art. 56 let. a à e CPP. Il l'est également, selon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 RS 101)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Selon la jurisprudence, une apparence de prévention ne découle en principe pas de la participation d'un même juge à des procédures menées séparément mais concernant plusieurs auteurs en lien avec un état de fait connexe ( TF 1B_110/2022 du 19 avril 2022 consid. 2.1 ; TF 1B_672/2021 du 30 décembre 2021 consid. 3.6 ; TF 1B_13/2021 du 1 er juillet 2021 consid. 3.3).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(ATF 138 IV 142 consid. 2.3 ; TF 1B_110/2022 du 19 avril 2022 consid. 2.1). La similitude qui pourrait exister entre les peines prononcées par le magistrat visé ainsi qu'entre certaines formulations adoptées dans les jugements ne constitue pas en soi un motif objectif de prévention : dans la mesure où les faits reprochés et le contexte dans lequel ils ont été commis sont semblables, une rédaction se fondant sur les mêmes principes juridiques ne relève pas de la prévention du juge concerné, mais d'une saine administration de la justice prenant en compte le principe de l'égalité de traitement de tous les prévenus jugés séparément. Enfin, le fait que, conformément à la loi (cf. art. 29-30 CPP), des procédures parallèles menées séparément puissent être jugées par les mêmes juges est dans l'intérêt de l'économie de la procédure (cf. art.</w:t>
      </w:r>
    </w:p>
    <w:p>
      <w:r>
        <w:rPr>
          <w:b/>
        </w:rPr>
        <w:t>E. 2.3</w:t>
      </w:r>
    </w:p>
    <w:p>
      <w:r>
        <w:t>En l’espèce, la requête de récusation est dirigée contre les membres du Tribunal correctionnel de l’arrondissement de l’Est vaudois ayant rendu le jugement du 16 janvier 2023. Elle n’est pas dirigée contre d’autres magistrats ou contre le Tribunal de l’arrondissement de l’Est vaudois en corps. Or, par courrier du 23 mars 2023, qui a été envoyé au requérant, la Présidente A.________, elle-même visée par la requête de récusation, a indiqué que le tribunal amené à statuer sur la cause du requérant n’aurait pas la même composition que celle du tribunal ayant siégé dans la cause concernant R.________ et P.________. Il faut en déduire qu’aucun des trois magistrats visés par la requête de récusation ne composera la cour qui sera amenée à juger le requérant et, partant, que la direction de la procédure sera reprise par un autre président du Tribunal de l’arrondissement de l’Est vaudois. Force est donc de constater que la requête de récusation est irrecevable, faute d’objet. 3. Il résulte de ce qui précède que la demande de récusation déposée le 21 mars 2023 par F.________ contre la Présidente A.________ et les juges C.________ et Q.________ est irrecevable. Compte tenu de la nature de l’affaire et de la demande déposée, l’indemnité allouée au défenseur d’office de F.________ sera fixée à 270 fr., correspondant à une activité nécessaire d’avocat de 1,5 heure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5 fr. 40, et la TVA au taux de 7,7 %, par 21 fr. 20 fr., soit à 297 fr. au total en chiffres arrondis. Les frais de la procédure de récusation, constitués en l’espèce de l’émolument de décision, par 990 fr. (art. 20 al. 1 TFIP), et des frais imputables à la défense d’office de F.________ (art. 422 al. 1 et 2 let. a CPP), fixés à 297 fr., seront mis à la charge du requérant, qui succombe (art. 59 al. 4, 2 e phrase, CPP). Le remboursement à l’Etat de l’indemnité allouée au défenseur d’office du requérant ne sera toutefois exigible que pour autant que la situation financière de celui-ci le permette (art. 135 al. 4 CPP). Par ces motifs, la Chambre des recours pénale prononce : I. La requête de récusation est irrecevable. II. L’indemnité allouée au défenseur d’office de F.________ est fixée à 297 fr. (deux cent nonante-sept francs). III. Les frais de décision, par 990 fr. (neuf cent nonante francs), ainsi que l’indemnité due au défenseur d’office de F.________, par 297 fr. (deux cent nonante-sept francs), sont mis à la charge de ce dernier. IV. Le remboursement à l’Etat de l’indemnité allouée au chiffre II ci-dessus ne sera exigible que pour autant que la situation financière de F.________ le permette. V. La décision est exécutoire. La présidente :               La greffière : Du La présente décision, dont la rédaction a été approuvée à huis clos, est notifiée, par l'envoi d'une copie complète, à : - Me Flamur Redzepi, avocat (pour F.________), - Ministère public central, et communiquée à : ‑ Mme la Présidente du Tribunal correctionnel de l’arrondissement de l’Est, et, par elle, aux juges C.________ et Q.________, - M. le Procureur de l’arrondissement de l’Est vaudois, - Me Coralie Devaud, avocate (pour [...]), - Me Roxane Chauvet-Mingard, avocate (pour B.________).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5</w:t>
      </w:r>
    </w:p>
    <w:p>
      <w:r>
        <w:t>al. 1 CPP) et ne saurait en soi révéler une apparence de prévention (cf. TF 1B_110/2022 du 19 avril 2022 consid. 2.3 ; TF 1B_75/2020 du 10 décembre 2020 consid. 2.2 ; TF 1B_150/2017 du 4 octobre 2017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