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377 vom 17. Mai 2023</w:t>
      </w:r>
    </w:p>
    <w:p>
      <w:r>
        <w:t>VD Tribunal cantonal, 2023-05-17, FR</w:t>
      </w:r>
    </w:p>
    <w:p>
      <w:r>
        <w:rPr>
          <w:b/>
        </w:rPr>
        <w:t xml:space="preserve">Quelle: </w:t>
      </w:r>
      <w:r>
        <w:t>https://mcp.opencaselaw.ch/entscheid/vd_findinfo_D_cision___2023___377</w:t>
      </w:r>
    </w:p>
    <w:p>
      <w:r>
        <w:t>FR: VD_FINDINFO Décision / 2023 / 377 du 17 mai 2023</w:t>
      </w:r>
    </w:p>
    <w:p>
      <w:r>
        <w:t>IT: VD_FINDINFO Décision / 2023 / 377 del 17 maggio 2023</w:t>
      </w:r>
    </w:p>
    <w:p>
      <w:pPr>
        <w:pStyle w:val="Heading2"/>
      </w:pPr>
      <w:r>
        <w:t>Regeste</w:t>
      </w:r>
    </w:p>
    <w:p>
      <w:r>
        <w:t>DOMMAGE PATRIMONIAL, TORT MORAL, ORDONNANCE DE CLASSEMENT, ADMISSION DE LA DEMANDE | 429 al. 1 let. b CPP (CH), 429 al. 1 let. c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de G.________ a été interjeté en temps utile devant l’autorité compétente par le prévenu, qui a la qualité pour recourir (art. 382 al. 1 CPP). Au surplus, son recours satisfait aux conditions de forme prescrites (art. 385 al. 1 CPP). Il est donc recevable.</w:t>
      </w:r>
    </w:p>
    <w:p>
      <w:r>
        <w:rPr>
          <w:b/>
        </w:rPr>
        <w:t>E. 2.1.1</w:t>
      </w:r>
    </w:p>
    <w:p>
      <w:r>
        <w:t>Le recourant invoque une constatation inexacte des faits. Il fait grief au Ministère public de ne pas lui avoir octroyé d’indemnité pour son manque à gagner auprès de la Fondation [...]. Il soutient que l’autorisation de pratiquer nécessaire à son activité lui aurait été refusée uniquement en raison de la procédure pénale diligentée à son encontre et non à la suite d’une application trop rigoureuse du principe de précaution qu’aurait faite la DGEO. Il explique que non seulement ce défaut d’autorisation ne lui avait pas permis d’effectuer le contrat de durée déterminée prévu avec Fondation [...] du 1 er janvier au 31 juillet 2022, mais qu’en outre, la procédure pénale avait terni son image auprès de cet employeur, pour qui il avait déjà œuvré durant trois ans et avait effectué cinq ans de remplacements ponctuels dans diverses sections de l’institution, ce qui lui aurait permis à coup sûr d’obtenir de futurs contrats et de percevoir des revenus durant toute l’année 2022. Il précise qu’il avait d’ailleurs été sollicité par une autre section de la fondation pour la période de janvier à août 2022 et qu’il avait déjà reçu une proposition pour l’année scolaire 2022/2023. Il relève que malgré l’annonce faite en février 2022 du classement de l’enquête par l’inspecteur [...], ses réitérées sollicitations auprès de la fondation pour se faire réengager et du département pour le renouvellement de son autorisation de pratiquer étaient demeurées vaines ; ce n’était qu’à réception de l’ordonnance de classement du 21 novembre 2022 que la DGEO avait accepté de lui délivrer à nouveau une autorisation de pratiquer. Il a dès lors chiffré son dommage économique à 42'365 fr. 55, correspondant à douze mois de salaire net et à 1'963 fr. 95 de part au treizième salaire.</w:t>
      </w:r>
    </w:p>
    <w:p>
      <w:r>
        <w:rPr>
          <w:b/>
        </w:rPr>
        <w:t>E. 2.1.2</w:t>
      </w:r>
    </w:p>
    <w:p>
      <w:r>
        <w:t>A teneur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(TF 6B_853/2021 du 16 novembre 2022 consid. 5.1.1 et les références citées). Le poste de « dommage économique » prévu à l'art. 429 al. 1 let. b CPP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6B_853/2021 précité consid. 5.1.1 et les références citées). Il concerne tous les préjudices économiques, c'est-à-dire toute diminution involontaire du patrimoine d'une personne (Wehrenberger/Bernhard, in : Niggli/Heer/Wiprächtiger [éd.], Basler Kommentar, Schweizerische Strafprozes-sordnung, Jugendstrafprozessordnung, 2 e éd., Bâle 2014, nn. 23 s. ad art. 429 CPP et les références citées). L'évaluation du dommage économique se fait au moyen des règles suivies d'ordinaire en matière de responsabilité civile (ATF 142 IV 237 consid. 1.3.2, JdT 2017 IV 39). Le droit à des dommages-intérêts fondés sur l'art. 429 al. 1 let. b CPP suppose l'existence d'un lien de causalité naturelle et adéquate entre le dommage subi et la procédure pénale. Un fait est la cause naturelle d'un résultat dommageable s'il en constitue l'une des conditions sine qua non ;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(TF 6B_853/ 2021 précité consid. 5.1.1 et les références citées). Il appartient au prévenu de prouver le bien-fondé de ses prétentions (TF 6B_995/2019 du 25 octobre 2019 consid. 1.1.1 et les références citées). La preuve du lien de causalité entre la procédure pénale et le dommage économique ne doit pas être soumise à des exigences trop élevées. Elle se limitera à la haute vraisemblance (Wehrenberger/Bernhard, op. cit., nn. 24 s. ad art. 429 CPP et les références citées). La jurisprudence se montre toutefois particulièrement restrictive en matière de dommage économique en relation avec la perte d’emploi. Le lien de causalité entre ce dommage et la procédure pénale n’est admis que dans les cas où le licenciement a été motivé uniquement par la procédure pénale et pouvait être justifié au vu des circonstances. Si son renvoi immédiat était injustifié, le prévenu ne peut réclamer l’indemnisation de son préjudice. Chaque fois que la perte de l’emploi est motivée par une réaction excessive de l’employeur, le lien de causalité est nié. Cette restriction est toutefois critiquée par une partie de la doctrine (Mizel/Rétornaz, in : Kuhn/Jeanneret/Perrier Depeursinge [éd.], Commentaire romand, Code de procédure pénale suisse, Bâle 2019, n. 41a ad art. 429 CPP et les références citées). Lorsqu’un grief est tiré de la constatation incomplète ou erronée des faits (cf. art. 393 al. 2 let. b CPP), le recourant doit indiquer les moyens de preuve qu’il invoque (art. 385 al. 1 let. c CPP) ; il peut s’agir de tout moyen, nouveau ou déjà au dossier (Lieber, in : Donatsch/Lieber/Summers/Wohlers [éd.], Kommentar zur Schweizerischen Strafprozessordnung, 3 e éd., Zurich/Bâle/Genève 2020, n. 2 ad art. 385 CPP ; Calame, in : Jeanneret/Kuhn/Perrier Depeursinge [éd.], Commentaire romand, Code de procédure pénale suisse, 2 e éd., Bâle 2019, n. 22 ad art. 385 CPP ; Stephenson/Thiriet, in Basler Kommentar, op. cit., n. 9 ad art. 396 CPP).</w:t>
      </w:r>
    </w:p>
    <w:p>
      <w:r>
        <w:rPr>
          <w:b/>
        </w:rPr>
        <w:t>E. 2.1.3</w:t>
      </w:r>
    </w:p>
    <w:p>
      <w:r>
        <w:t>Le Ministère public a en substance considéré que la suspension du recourant par le [...], laquelle ne comportait pas de motivation, était intervenue avant que le Procureur général n’informe le DFJC, et que, partant, l’enquête à elle seule n’était pas propre, selon le cours ordinaire des choses et l’expérience générale de la vie, à occasionner une suspension non rémunérée. Cette argumentation tombe à faux, dès lors que le [...] a rémunéré le recourant jusqu’à fin décembre 2021, soit jusqu’au terme de son contrat. C’est bien plutôt l’impossibilité pour lui de prendre son nouveau poste à la Fondation [...] qui est ici en cause, puisque, pour exercer son activité, le recourant devait être au bénéfice d’une autorisation de pratiquer, respectivement tributaire du renouvellement de celle-ci. Or, la DGEO a refusé à son employeur ledit renouvellement le 13 janvier 2022, soit postérieurement à l’annonce du Procureur général, invoquant précisément l’enquête en cours et justifiant ce non-renouvellement par le principe de précaution qui devait l’emporter sur la présomption d’innocence. Le recourant n’a pu effectuer le contrat de durée déterminée prévu puisque l’autorisation requise n’a pu lui être délivrée. Il ne fait dès lors aucun doute que la non-prise de poste – et la perte économique qui s’en est ensuivie – est en lien de causalité naturelle et adéquate avec la procédure pénale. Au demeurant, il paraît difficile de juger, s’agissant de suspicions d’actes d’ordre sexuel sur des enfants, que le département a adopté une réaction excessive. Il est en effet dans le cours ordinaire des choses que l’on empêche un prévenu de ce genre d’infractions de poursuivre une quelconque activité en milieu scolaire, ce qu’est la Fondation [...], et ce d’autant que la demande de renouvellement d’autorisation – et son refus – sont intervenus très tôt dans la procédure. Dès lors, et avec le Ministère public dans sa première ordonnance du mois de septembre 2022, il convient de considérer que la perte économique subie par le recourant est bien réelle et en lien direct avec la procédure. Le recourant réclame, en sus de la période allant de janvier à juillet 2022, l’indemnisation d’une perte de salaire pour les mois d’août à décembre 2022. Il explique qu’il aurait déjà reçu une proposition de la Fondation [...] pour l’année scolaire 2022/2023, précisant qu’il avait déjà collaboré avec celle-ci durant les huit années précédentes, mais que la procédure pénale avait fatalement terni sa réputation et qu’il ne pourrait dès lors plus être engagé. Si l’empêchement de prendre son poste de janvier à juillet 2022 est attesté par pièces (P. 2 du recours et P. 29/2 du dossier pénal), en revanche, aucun élément au dossier ne vient appuyer de près ou de loin un éventuel emploi perdu pour la période postérieure au 31 juillet 2022. L’indemnisation devra donc se limiter à la période de janvier à juillet 2022. Le salaire net qui aurait été proposé est de 3'366 fr. 80, additionné de la somme de 1'963 fr. 95 comme part au 13 e salaire (P. 29/2). Le montant de l’indemnité sera donc de 25'531 fr. 55 (7 mois x 3'366 fr. 80 + 1'963 fr. 95). Le moyen est donc fondé et l’ordonnance sera réformée sur ce point.</w:t>
      </w:r>
    </w:p>
    <w:p>
      <w:r>
        <w:rPr>
          <w:b/>
        </w:rPr>
        <w:t>E. 2.2.1</w:t>
      </w:r>
    </w:p>
    <w:p>
      <w:r>
        <w:t>Le recourant invoque ensuite qu’une indemnité pour tort moral aurait dû lui être allouée. Il relève qu’il a présenté des symptômes anxieux et dépressifs réactionnels marqués à la suite de la procédure pénale, selon l’attestation de son médecin traitant, et qu’on ne saurait retenir que du seul fait qu’il n’a pas été suivi par un psychiatre, ses souffrances morales étaient moindres. Il ajoute que des accusations d’actes d’ordre sexuel avec des enfants laissent une trace et que sa réputation en avait été fortement impactée, tant au niveau familial que professionnel. Il fait remarquer que la relation de confiance qu’il avait tissée avec ses employeurs et ses collègues avait indéniablement été mise à mal par cette procédure et que ces accusations, alors qu’il était éducateur, en début de carrière, représentaient une atteinte à la personnalité d’une intensité particulière. Il ajoute que l’annonce du Procureur général au DFJC, dont il dépend en tant qu’éducateur, et la suspension de son autorisation de pratiquer constituaient des atteintes supplémentaires, de sorte que le tort moral devait être indemnisé à hauteur de 5'000 francs.</w:t>
      </w:r>
    </w:p>
    <w:p>
      <w:r>
        <w:rPr>
          <w:b/>
        </w:rPr>
        <w:t>E. 2.2.2</w:t>
      </w:r>
    </w:p>
    <w:p>
      <w:r>
        <w:t>L’art. 429 al. 1 let. c CPP prévoit le droit à une réparation du tort moral subi à raison d’une atteinte particulièrement grave à la personnalité du prévenu, notamment en cas de privation de liberté. L’intensité de l’atteinte à la personnalité doit être analogue à celle requise dans le contexte des art. 28a al. 3 CC (Code civil suisse du 10 décembre 1907 ; RS 210) et 49 CO ([Code des obligations du 30 mars 2011 ; RS 220] ; ATF 143 IV 339 consid. 3.1 ; TF 6B_1342/2016 du 12 juillet 2017 consid. 4.2 ; TF 6B_129/2016 du 2 mai 2016 consid. 4.2 ; TF 6B_928/2014 du 10 mars 2016 consid. 5.1 non publié in ATF 142 IV 163). L’autorité compétente pour fixer le montant du tort moral dispose d’un large pouvoir d’appréciation que le Tribunal fédéral ne revoit qu’avec retenue (ATF 143 IV 339 consid. 3.1 ; TF 6B_1342/2016 précité, ibid.). Outre la détention avant jugement,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 ; TF 6B_928/2014 précité consid. 5.1 et les références citées). La gravité objective de l'atteinte doit être ressentie par le prévenu comme une souffrance morale. Pour apprécier cette souffrance, le juge se fondera sur la réaction de l'homme moyen dans un cas pareil, présentant les mêmes circonstances (ATF 128 IV 53 consid. 7a). Il incombe au prévenu de faire état des circonstances qui font qu'il a ressenti l'atteinte comme étant subjectivement grave (ATF 120 II 97 consid. 2b ; TF 6B_928/2014 précité consid. 5.1). Selon la jurisprudence,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précité ; ATF 130 III 699 consid. 5.1 ; cf. également ATF 141 III 97 consid. 11.2).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w:t>
      </w:r>
    </w:p>
    <w:p>
      <w:r>
        <w:rPr>
          <w:b/>
        </w:rPr>
        <w:t>E. 2.2.3</w:t>
      </w:r>
    </w:p>
    <w:p>
      <w:r>
        <w:t>Le recourant évolue dans un milieu particulièrement sensible puisqu’il exerce son activité professionnelle dans un cadre de vie enfantine. Les accusations qui ont été portées à son encontre sont les pires possibles dans ce contexte. Il faut admettre, au contraire du Ministère public, que toute personne raisonnable placée dans une situation similaire aurait subi une souffrance morale significative. Certes, le recourant n’a pas consulté de psychiatre, mais son médecin traitant a néanmoins attesté de symptômes anxieux et dépressifs réactionnels en lien direct avec la procédure pénale. En outre, la médication prescrite n’a pas uniquement concerné des troubles du sommeil puisqu’elle était également constituée d’antidépresseurs. Il est évident, comme le soutient à juste titre le recourant, que les accusations infondées d’actes d’ordre sexuels avec des enfants ont entraîné des répercussions massives sur sa réputation, tant dans son cercle familial que professionnel, qui plus est compte tenu de son domaine d’activité. La procédure a de surcroît duré près d’une année. L’ordonnance de classement qui intervient après cette durée est insuffisante pour annihiler toute trace de ces accusations auprès de l’entourage du recourant, qui en subira certainement encore les conséquences. On ne conçoit dès lors pas qu’il s’agisse uniquement de désagréments inhérents à toute poursuite pénale dans les circonstances d’espèce, comme l’a retenu à tort le Ministère public, le degré de souffrance étant à l’évidence supérieur. Quant au fait que le recourant n’ait pas été en incapacité de travail, il sied de rappeler que comme c’est justement la procédure pénale qui lui a fait perdre son emploi, cet argument est dépourvu de pertinence. Par conséquent, il se justifie d’allouer au recourant une indemnité pour le tort moral subi. Cela étant, G.________, qui réclame 5'000 fr., n’a pas produit de pièce établissant la gravité de ses souffrances psychiques, ni ne les a étayées davantage que ce qui figure dans le certificat médical de son médecin. Dans ces circonstances, à défaut d’information supplémentaire, c’est une indemnité de 1'000 fr. qui lui sera allouée.</w:t>
      </w:r>
    </w:p>
    <w:p>
      <w:r>
        <w:rPr>
          <w:b/>
        </w:rPr>
        <w:t>E. 3</w:t>
      </w:r>
    </w:p>
    <w:p>
      <w:r>
        <w:t>En définitive, le recours doit être admis et l’ordonnance entreprise réformée au chiffre II de son dispositif en ce sens qu’une indemnité de 25'531 fr. 55 au sens de l’art. 429 al. 1 let b CPP et une indemnité de 1'000 fr. au sens de l’art. 429 al. 1 let. c CPP sont allouées à G.________, aux frais de l’Etat. L’ordonnance est maintenue pour le surplus. Au vu de la liste des opérations produite, qui mentionne une durée d’activité de 4h42, l’indemnité due pour la procédure de recours à Me Loraine Michaud Champendal, défenseur d’office de G.________, sera fixée à 846 fr., correspondant à la durée indiquée, qui est correcte, au tarif horaire de 180 fr. (art. 2 al. 1 let. a et 3 al. 2 RAJ [Règlement du 7 décembre 2010 sur l'assistance judiciaire en matière civile ; BLV 211.02.3], applicable par renvoi de l’art. 26b TFIP [Tarif des frais de procédure et indemnités en matière pénale du 28 septembre 2010 ; BLV 312.03.1]), montant auquel il convient d’ajouter des débours forfaitaires à concurrence de 2 % des honoraires admis (art. 3bis al. 1 RAJ), par 16 fr. 92, et la TVA au taux de 7,7 %, par 66 fr. 45, soit à 930 fr. au total en chiffres arrondis. Cette indemnité sera laissée à la charge de l’Etat. Les frais de la procédure, constitués de l’émolument d’arrêt, par 1'320 fr. (art. 20 al. 1 TFIP), ainsi que de l’indemnité allouée au défenseur d’office de G.________, seront laissés à la charge de l’Etat, en application de l’art. 428 al. 4 CPP. Par ces motifs, la Chambre des recours pénale prononce : I. Le recours est admis. II. L’ordonnance du 21 novembre 2022 est réformée à son chiffre II comme il suit : II. Alloue à G.________ un montant de 25'531 fr. 55 (vingt-cinq mille cinq cent trente et un francs et cinquante-cinq centimes), à titre d’indemnité au sens de l’art. 429 al. 1 let. b CPP, et un montant de 1'000 fr. (mille francs), à titre d’indemnité au sens de l’art. 429 al. 1 let. c CPP, à la charge de l’Etat . L’ordonnance est maintenue pour le surplus. III. L’indemnité allouée à Me Loraine Michaud Champendal, défenseur d’office de G.________, est fixée à 930 fr. (neuf cent trente francs). IV. Les frais d’arrêt, par 1’320 fr. (mille trois cent vingt francs), ainsi que l’indemnité due au défenseur d’office de G.________, par 930 fr. (neuf cent trente francs), sont laissés à la charge de l’Etat. V. L’arrêt est exécutoire. La présidente :               Le greffier : Du Le présent arrêt, dont la rédaction a été approuvée à huis clos, est notifié, par l'envoi d'une copie complète, à : - Me Loraine Michaud Champendal, avocate (pour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