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373 vom 8. Mai 2023</w:t>
      </w:r>
    </w:p>
    <w:p>
      <w:r>
        <w:t>VD Tribunal cantonal, 2023-05-08, FR</w:t>
      </w:r>
    </w:p>
    <w:p>
      <w:r>
        <w:rPr>
          <w:b/>
        </w:rPr>
        <w:t xml:space="preserve">Quelle: </w:t>
      </w:r>
      <w:r>
        <w:t>https://mcp.opencaselaw.ch/entscheid/vd_findinfo_D_cision___2023___373</w:t>
      </w:r>
    </w:p>
    <w:p>
      <w:r>
        <w:t>FR: VD_FINDINFO Décision / 2023 / 373 du 8 mai 2023</w:t>
      </w:r>
    </w:p>
    <w:p>
      <w:r>
        <w:t>IT: VD_FINDINFO Décision / 2023 / 373 del 8 maggio 2023</w:t>
      </w:r>
    </w:p>
    <w:p>
      <w:pPr>
        <w:pStyle w:val="Heading2"/>
      </w:pPr>
      <w:r>
        <w:t>Regeste</w:t>
      </w:r>
    </w:p>
    <w:p>
      <w:r>
        <w:t>ORDONNANCE DE SÉQUESTRE, REJET DE LA DEMANDE | 263 al. 1 let. a CPP (CH), 263 al. 1 let. c CPP (CH), 263 al. 1 let. d CPP (CH), 263 al. 2 CPP (CH)</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 e éd., Bâle 2019 [cité ci-après : CR-CPP], n. 4 ad art. 267 CPP ; Moreillon/Parein-Reymond, Code de procédure pénale, Petit commentaire, 2 e éd., Bâle 2016, n. 24 ad art. 263 CPP).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BLV 173.01]).</w:t>
      </w:r>
    </w:p>
    <w:p>
      <w:r>
        <w:rPr>
          <w:b/>
        </w:rPr>
        <w:t>E. 1.2</w:t>
      </w:r>
    </w:p>
    <w:p>
      <w:r>
        <w:t>En l’espèce, interjeté en temps utile, auprès de l’autorité compétente et dans les formes prescrites (art. 385 al. 1 CPP), par le prévenu qui a un intérêt juridique à l’annulation ou à la modification de l’ordonnance entreprise (art. 382 al. 1 CPP), le recours est recevable.</w:t>
      </w:r>
    </w:p>
    <w:p>
      <w:r>
        <w:rPr>
          <w:b/>
        </w:rPr>
        <w:t>E. 2.1.1</w:t>
      </w:r>
    </w:p>
    <w:p>
      <w:r>
        <w:t>Le recourant soutient en premier lieu que l’ordonnance n’est pas suffisamment motivée et que la seule référence à la norme légale n’est pas suffisante.</w:t>
      </w:r>
    </w:p>
    <w:p>
      <w:r>
        <w:rPr>
          <w:b/>
        </w:rPr>
        <w:t>E. 2.1.2</w:t>
      </w:r>
    </w:p>
    <w:p>
      <w:r>
        <w:t>En vertu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(Julen Berthod, in : CR CPP, op. cit., n. 34 ad art. 263 CPP, avec n. infrapaginale 114).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 CREP 27 mai 2021/456 consid. 2.1 ; CREP 28 juin 2019/521 consid. 2.1).</w:t>
      </w:r>
    </w:p>
    <w:p>
      <w:r>
        <w:rPr>
          <w:b/>
        </w:rPr>
        <w:t>E. 2.1.3</w:t>
      </w:r>
    </w:p>
    <w:p>
      <w:r>
        <w:t>En l’espèce, et contrairement à ce que soutient le recourant, le Ministère public ne s’est pas contenté de mentionner les dispositions légales pertinentes dans l’ordonnance de séquestre. Au contraire, le procureur a indiqué pour chaque bien en quoi les conditions légales de ces cas de séquestre étaient réunies. Dès lors que le Ministère public a mentionné brièvement les motifs qui l’ont guidé et que le recourant était ainsi en mesure de les comprendre, l’ordonnance attaquée doit être considérée comme suffisamment motivée.</w:t>
      </w:r>
    </w:p>
    <w:p>
      <w:r>
        <w:rPr>
          <w:b/>
        </w:rPr>
        <w:t>E. 2.2.1</w:t>
      </w:r>
    </w:p>
    <w:p>
      <w:r>
        <w:t>Le recourant soutient ensuite que la paire de chaussures, l’étui, la sacoche, la ceinture et l’écharpe noire, tous de marque Louis Vuitton, ainsi que la montre Panerai, auraient été acquis de manière licite. Il les aurait achetés dans les boutiques Louis Vuitton, respectivement au magasin [...] à Genève, s’agissant de la montre.</w:t>
      </w:r>
    </w:p>
    <w:p>
      <w:r>
        <w:rPr>
          <w:b/>
        </w:rPr>
        <w:t>E. 2.2.2</w:t>
      </w:r>
    </w:p>
    <w:p>
      <w:r>
        <w:t>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 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op. cit., n. 15 ad art. 263 CPP). Le séquestre en vue de confiscation prévu par l’art. 263 al. 1 let. d CPP consiste en la confiscation de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 vraisemblance (ATF 143 IV 357 consid. 1.2.3 et les arrêts cités). Tant que l’instruction n’est pas achevée, une simple probabilité suffit (ATF 140 IV 57 consid. 4.1.1). L'autorité doit pouvoir décider rapidement du séquestre provisoire (cf. art. 263 al. 2 CPP), ce qui exclut qu'elle résolve des questions juridiques complexes ou qu'elle attende d'être renseignée de manière exacte et complète sur les faits avant d'agir (ATF 141 IV 360 consid. 3.2 ; ATF 140 IV 57 précité consid. 4.1.2 ; TF 1B_667/2021 du 19 avril 2022).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w:t>
      </w:r>
    </w:p>
    <w:p>
      <w:r>
        <w:rPr>
          <w:b/>
        </w:rPr>
        <w:t>E. 2.2.3</w:t>
      </w:r>
    </w:p>
    <w:p>
      <w:r>
        <w:t>En l’espèce, et contrairement à ce que soutient le recourant, le fait que l’enquête en cours ne porte pas spécifiquement sur les objets désignés dans le recours et que ceux-ci ne fassent pas l’objet de plaintes n’est pas pertinent. Il n’est en effet pas exclu qu’ils proviennent également d’un vol, même en l’absence de plaintes déposées à leur sujet. Il sied de rappeler à cet égard le nombre important de vols reprochés au recourant et les multiples interdictions d’entrer qui lui ont été signifiées par différents magasins. Portant sur lui les objets séquestrés lors de son interpellation le 24 mars 2022, le recourant affirme les avoir achetés, se contentant toutefois de simples allégations pour tenter de démontrer qu’il aurait les moyens d’acquérir ces objets de luxe. De surcroît, s’il avait lui-même acheté ces biens, il aurait dû être en mesure de produire des justificatifs bancaires ou des quittances, ce qui n’a pas été le cas. La vraisemblance des vols ne peut dès lors être sérieusement contestée et les motifs du séquestre apparaissent justifiés, dès lors que les biens en question sont de nature à servir de preuves, à être restitués à d’éventuels lésés s’ils se manifestent en cours de procédure et à être confisqués dans l’hypothèse inverse. Enfin, la mesure de séquestre est conforme au principe de la proportionnalité, le recourant ne pouvant pas établir un besoin urgent des produits de luxe séquestrés et la mesure litigieuse étant la seule à garantir que ceux-ci restent à disposition de la justice.</w:t>
      </w:r>
    </w:p>
    <w:p>
      <w:r>
        <w:rPr>
          <w:b/>
        </w:rPr>
        <w:t>E. 3</w:t>
      </w:r>
    </w:p>
    <w:p>
      <w:r>
        <w:t>En définitive, le recours, manifestement mal fondé, doit être rejeté sans échange d'écritures (art. 390 al. 2 CPP) et l'ordonnance du 12 avril 2023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sur la base d’une durée d’activité nécessaire d’avocat estimée à 2h00 au tarif horaire de 180 fr., auxquels il convient d’ajouter des débours forfaitaires à concurrence de 2 % (art. 3bis al. 1 RAJ [Règlement sur l’assistance judiciaire en matière civile du 7 décembre 2010 ; BLV 211.02.3], applicable par renvoi de l’art. 26b TFIP), par 7 fr. 20, et la TVA, par 28 fr. 25, soit à 395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let. a CPP). Par ces motifs, la Chambre des recours pénale prononce : I. Le recours est rejeté. II. L’ordonnance du 12 avril 2023 est confirmée. III. L’indemnité allouée au défenseur d’office de A.G.________ est fixée à 395 fr. (trois cent nonante-cinq francs). IV. Les frais d’arrêt, par 1’210 fr. (mille deux cent dix francs), ainsi que l’indemnité due au défenseur d’office de A.G.________, par 395 fr. (trois cent nonante-cinq francs), sont mis à la charge de ce dernier. V. Le remboursement à l’Etat de l’indemnité allouée au chiffre III ci-dessus ne sera exigible que pour autant que la situation financière de A.G.________ le permette. VI. L’arrêt est exécutoire. La présidente :               La greffière : Du Le présent arrêt, dont la rédaction a été approuvée à huis clos, est notifié, par l'envoi d'une copie complète, à : - Me Amandine Torrent (pour A.G.________,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