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361 vom 15. Mai 2023</w:t>
      </w:r>
    </w:p>
    <w:p>
      <w:r>
        <w:t>VD Tribunal cantonal, 2023-05-15, FR</w:t>
      </w:r>
    </w:p>
    <w:p>
      <w:r>
        <w:rPr>
          <w:b/>
        </w:rPr>
        <w:t xml:space="preserve">Quelle: </w:t>
      </w:r>
      <w:r>
        <w:t>https://mcp.opencaselaw.ch/entscheid/vd_findinfo_D_cision___2023___361</w:t>
      </w:r>
    </w:p>
    <w:p>
      <w:r>
        <w:t>FR: VD_FINDINFO Décision / 2023 / 361 du 15 mai 2023</w:t>
      </w:r>
    </w:p>
    <w:p>
      <w:r>
        <w:t>IT: VD_FINDINFO Décision / 2023 / 361 del 15 maggio 2023</w:t>
      </w:r>
    </w:p>
    <w:p>
      <w:pPr>
        <w:pStyle w:val="Heading2"/>
      </w:pPr>
      <w:r>
        <w:t>Regeste</w:t>
      </w:r>
    </w:p>
    <w:p>
      <w:r>
        <w:t>REMPLACEMENT, ADMISSION DE LA DEMANDE, DÉFENSE D'OFFICE | 134 al. 2 CPP (CH)</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(Code de procédure pénale suisse du 5 octobre 2007 ; RS 312.0) (TF 1B_388/2020 du</w:t>
      </w:r>
    </w:p>
    <w:p>
      <w:r>
        <w:rPr>
          <w:b/>
        </w:rPr>
        <w:t>E. 1.2</w:t>
      </w:r>
    </w:p>
    <w:p>
      <w:r>
        <w:t>En l'espèce, interjeté en temps utile (art. 396 al. 1 CPP) auprès de l’autorité compétente (art. 20 al. 1 let. b CPP et 13 LVCPP [Loi vaudoise d’introduction du Code de procédure pénale suisse du 19 mai 2009 ; BLV 312.01]), par le prévenu qui a un intérêt juridiquement protégé (art. 382 al. 1 CPP) à obtenir la modification d’une ordonnance du Ministère public rejetant sa requête de confier le mandat d'office à un autre mandataire (art. 133 al. 2 CPP), le recours est recevable.</w:t>
      </w:r>
    </w:p>
    <w:p>
      <w:r>
        <w:rPr>
          <w:b/>
        </w:rPr>
        <w:t>E. 2</w:t>
      </w:r>
    </w:p>
    <w:p>
      <w:r>
        <w:t>septembre 2020 consid. 1 ; CREP 19 juillet 2019/583 ; Harari/Jakob/Santamaria, in : Jeanneret et al. [éd.], Commentaire romand, Code de procédure pénale suisse, 2 e éd., Bâle 2019, n. 25 ad art. 134 CPP).</w:t>
      </w:r>
    </w:p>
    <w:p>
      <w:r>
        <w:rPr>
          <w:b/>
        </w:rPr>
        <w:t>E. 2.1</w:t>
      </w:r>
    </w:p>
    <w:p>
      <w:r>
        <w:t>Le recourant fait valoir que tant d’un point de vue subjectif que d’un point de vue objectif, la relation de confiance avec son défenseur d’office serait gravement perturbée, si bien que la condition de l’art. 134 al. 2 CPP serait réalisée en l’espèce. Par ailleurs, Q.________ explique avoir émis le souhait d’être défendu par Me Dario Barbosa dès le début de la procédure, mais que ses demandes sont restées lettre morte.</w:t>
      </w:r>
    </w:p>
    <w:p>
      <w:r>
        <w:rPr>
          <w:b/>
        </w:rPr>
        <w:t>E. 2.2</w:t>
      </w:r>
    </w:p>
    <w:p>
      <w:r>
        <w:t>Aux termes de l'art. 134 al. 2 CPP, si la relation de confiance entre le prévenu et le défenseur d'office est gravement perturbée ou si une défense efficace n'est plus assurée pour d'autres raisons, la direction de la procédure confie la défense d'office à une autre personne.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1B_479/2022 du 21 mars 2023 consid. 2.2 et les références citées). Le simple fait que la partie assistée n'a pas confiance en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 TF 1B_166/2020 précité consid. 3.1.2 ; TF 6B_35/2022 du 24 novembre 2022 consid. 4.2 et les références citées). L'art. 133 al. 2 CPP impose à la direction de la procédure, lors de la nomination du défenseur d’office, de tenir compte, dans la mesure du possible, des souhaits du prévenu. Ce droit de proposition (qui découle également de la CEDH) ne peut être invoqué qu'une fois, en principe au début de la procédure (TF 1B_44/2019 du 30 janvier 2019 consid. 2.2 ; TF 1B_103/2017 du 27 avril 2017 consid. 2.2).</w:t>
      </w:r>
    </w:p>
    <w:p>
      <w:r>
        <w:rPr>
          <w:b/>
        </w:rPr>
        <w:t>E. 2.3</w:t>
      </w:r>
    </w:p>
    <w:p>
      <w:r>
        <w:t>En l’occurrence, il n’existe aucun élément tangible et objectif qui laisserait apparaître que la poursuite du mandat d’office de Me Rachel Rytz n’est plus justifiée ou ne peut raisonnablement plus être imposée au recourant. En effet, depuis qu’elle a été nommée, Me Rachel Rytz a régulièrement assisté aux auditions qui se sont tenues. Elle affirme par ailleurs avoir régulièrement rencontré son client, la dernière fois le 20 mars 2023, lui avoir remis copie de toutes les pièces du dossier en sa possession et avoir planifié avec lui les prochaines opérations (P. 30). La perte de confiance invoquée ne repose donc que sur des motifs subjectifs lesquels ne suffisent toutefois pas pour justifier un changement de défenseur en application de l’art. 134 al. 2 CPP. Il est en revanche vrai que le recourant a, le 17 février 2023 déjà, soit quelques jours seulement après l’ouverture de l’instruction, usé de son droit de proposition en demandant que sa défense d’office soit assurée par Me Dario Barbosa (P. 14). Cette demande est restée lettre morte jusqu’à ce que le recourant relance le procureur le 14 mars 2023. Au moment où elle a été formulée, le procureur aurait pu donner suite à la proposition du recourant sans risque de compliquer ou de ralentir la procédure. Le souhait émis par le recourant méritait en outre une attention particulière au vu de la gravité des faits qui lui sont reprochés et des enjeux importants de la procédure. Aucune raison objective ne s’opposait à la nomination du défenseur d’office proposé par le prévenu, ce d’autant plus que cet avocat est en mesure de s’exprimer en portugais, soit la langue maternelle du prévenu, ce qui est manifestement de nature à faciliter la communication. Enfin, le fait que l’instruction ait débuté il y a un peu plus de quatre mois, ne fait pas obstacle à un changement de défenseur d’office en application de l’art. 133 al. 2 CPP (cf. CREP</w:t>
      </w:r>
    </w:p>
    <w:p>
      <w:r>
        <w:rPr>
          <w:b/>
        </w:rPr>
        <w:t>E. 6</w:t>
      </w:r>
    </w:p>
    <w:p>
      <w:r>
        <w:t>avril 2022/242 consid. 2.2). En définitive, le mandat d’office de Me Rachel Rytz doit être révoqué et la défense d’office du recourant doit être confiée à l’avocat Dario Barbosa en application de l’art. 133 al. 2 CPP. 3. Au vu de ce qui précède, le recours doit être admis et l’ordonnance du 24 mars 2023 réformée au chiffre I de son dispositif en ce sens que Me Rachel Rytz est relevée de sa mission de défenseur d’office et que Me Dario Barbosa est nommé en remplacement. Pour garantir le principe de la double instance, il appartiendra en outre au procureur de fixer l’indemnité d’office de Me Rachel Rytz pour le travail accompli en relation avec sa mission de défenseur d’office de Q.________. Au vu de la nature de l’affaire et du mémoire de recours produit, l’indemnité de défenseur d’office de Me Dario Barbosa pour la procédure de recours sera fixée à 540 fr., correspondant à une activité nécessaire d’avocat de 3h00 au tarif horaire de 180 fr., montant auquel il convient d’ajouter des débours forfaitaires à concurrence de 2 % des honoraires admis (art. 3bis al. 1 RAJ [règlement sur l’assistance judiciaire en matière civile du 7 décembre 2017 ; BLV 211.02.3], applicable par renvoi de l’art. 26b TFIP [tarif des frais de procédure et indemnités en matière pénale du 28 septembre 2010 ; BLV 312.03.1]), par 10 fr. 80, plus la TVA sur le tout, par 42 fr. 40, soit 594 fr. au total en chiffres arrondis. Quant à l’indemnité due à Me Rachel Rytz pour la procédure de recours, elle correspondra à une activité nécessaire d’avocat de 2h00 au tarif horaire de 180 fr., soit 360 fr., montant auquel il convient d’ajouter des débours forfaitaires de 2% des honoraires admis et la TVA sur le tout, soit 396 fr. au total en chiffres arrondis. Vu le sort du recours, les frais de la procédure, constituées de l’émolument d’arrêt, par 880 fr. (art. 20 al. 1 TFIP), et des frais imputables à la défense d’office (art. 422 al. 1 et 2 let. a CPP), par 990 fr. (594 + 396), seront laissés à la charge de l’Etat (art. 423 al. 1 CPP). Par ces motifs, la Chambre des recours pénale prononce : I. Le recours est admis. II. L’ordonnance du 24 mars 2022 est réformée au chiffre I de son dispositif en ce sens que Me Rachel Rytz est relevée de sa mission de défenseur d’office et que l’avocat Dario Barbosa est désigné en qualité de défenseur d’office de Q.________. L’ordonnance est confirmée pour le surplus. III. L’indemnité allouée à Me Dario Barbosa pour la procédure de recours est fixée à 594 fr. (cinq cent nonante-quatre francs). IV. L’indemnité allouée à Me Rachel Rytz pour la procédure de recours est fixée à 396 fr. (trois cent nonante-six francs). V. Les frais d’arrêt, par 880 fr. (huit cent huitante francs), ainsi que les indemnités dues à Me Dario Barbosa, par 594 fr. (cinq cent nonante-quatre francs) et à Me Rachel Rytz, par 396 fr. (trois cent nonante-six francs), sont laissés à la charge de l’Etat. VI. L’arrêt est exécutoire. La présidente :               La greffière : Du Le présent arrêt, dont la rédaction a été approuvée à huis clos, est notifié, par l'envoi d'une copie complète, à : - Me Dario Barbosa, avocat (pour Q.________), - Me Rachel Rytz,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