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337 vom 8. Mai 2023</w:t>
      </w:r>
    </w:p>
    <w:p>
      <w:r>
        <w:t>VD Tribunal cantonal, 2023-05-08, FR</w:t>
      </w:r>
    </w:p>
    <w:p>
      <w:r>
        <w:rPr>
          <w:b/>
        </w:rPr>
        <w:t xml:space="preserve">Quelle: </w:t>
      </w:r>
      <w:r>
        <w:t>https://mcp.opencaselaw.ch/entscheid/vd_findinfo_D_cision___2023___337</w:t>
      </w:r>
    </w:p>
    <w:p>
      <w:r>
        <w:t>FR: VD_FINDINFO Décision / 2023 / 337 du 8 mai 2023</w:t>
      </w:r>
    </w:p>
    <w:p>
      <w:r>
        <w:t>IT: VD_FINDINFO Décision / 2023 / 337 del 8 maggio 2023</w:t>
      </w:r>
    </w:p>
    <w:p>
      <w:pPr>
        <w:pStyle w:val="Heading2"/>
      </w:pPr>
      <w:r>
        <w:t>Regeste</w:t>
      </w:r>
    </w:p>
    <w:p>
      <w:r>
        <w:t>DÉTENTION PROVISOIRE, RISQUE DE FUITE, MESURE DE SUBSTITUTION À LA DÉTENTION, SÛRETÉS | 221 al. 1 let. a CPP (CH), 237 CPP (CH), 238 CPP (CH)</w:t>
      </w:r>
    </w:p>
    <w:p>
      <w:pPr>
        <w:pStyle w:val="Heading2"/>
      </w:pPr>
      <w:r>
        <w:t>Erwägungen</w:t>
      </w:r>
    </w:p>
    <w:p>
      <w:r>
        <w:rPr>
          <w:b/>
        </w:rPr>
        <w:t>E. 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dans le délai légal par un détenu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Un seul des risques de fuite, de collusion ou de récidive suffit pour justifier le maintien en détention provisoire (TF 1B_192/2022 du 12 mai 2022 consid. 4.1.2 ; TF 1B_195/2022 du 3 mai 2022 consid. 2.2.1).</w:t>
      </w:r>
    </w:p>
    <w:p>
      <w:r>
        <w:rPr>
          <w:b/>
        </w:rPr>
        <w:t>E. 3.1</w:t>
      </w:r>
    </w:p>
    <w:p>
      <w:r>
        <w:t>Le recourant ne conteste pas, à juste titre, l’existence de soupçons suffisants de commission d’un crime ou d’un délit. Il fait valoir en premier lieu que le Ministère public aurait justifié sa demande de prolongation de la détention en mêlant le risque de fuite au risque de collusion dès lors qu’il avait invoqué que la plaignante n’avait pas pu être entendue. Or, selon le prévenu, ce motif ne serait plus pertinent puisque P.________ avait pu être entendue le 27 avril 2023. Le recourant conteste ensuite le risque de fuite retenu par le premier juge, en faisant valoir qu’il serait domicilié en Suisse depuis de nombreuses années, qu’il y aurait une activité lucrative et une amie, qu’il entretiendrait d’excellentes relations avec ses collègues et qu’il ne souhaiterait pas quitter le pays. Le fait qu’il soit de nationalité [...] ne justifierait pas de retenir un risque de fuite. Au contraire, le recourant affirme qu’il aurait tout intérêt à rester en Suisse pour pouvoir y défendre ses droits et continuer à travailler.</w:t>
      </w:r>
    </w:p>
    <w:p>
      <w:r>
        <w:rPr>
          <w:b/>
        </w:rPr>
        <w:t>E. 3.2</w:t>
      </w:r>
    </w:p>
    <w:p>
      <w:r>
        <w:t>Conformément à l'art. 221 al. 1 let. a CPP, la détention provisoire ou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145 IV 503 consid. 2.2 ; ATF 143 IV 160 consid. 4.3, JdT 2018 IV 3 ; TF 1B_72/2022 du 4 mars 2022 consid. 4.1). Le risque de fuite s'étend également au risque de se soustraire à la procédure pénale ou à la sanction prévisible en tombant dans la clandestinité à l'intérieur du pays (ATF 143 IV 160 précité ; TF 1B_549/2020 du 9 novembre 2020 consid. 3.1).</w:t>
      </w:r>
    </w:p>
    <w:p>
      <w:r>
        <w:rPr>
          <w:b/>
        </w:rPr>
        <w:t>E. 3.3</w:t>
      </w:r>
    </w:p>
    <w:p>
      <w:r>
        <w:t>En l’espèce, dans son arrêt du 27 mars 2023 (cf. consid. 5.3), la Chambre de céans a retenu que le recourant était titulaire d’un permis B, qu’il était célibataire et n’avait pas d’enfants. S’il avait certes un travail en Suisse, sa famille vivait en [...]. Le recourant avait déclaré avoir une amie avec laquelle il entretenait des relations sexuelles, mais qu’il n’était pas vraiment en couple avec elle. Son frère était le seul proche qu’il souhaitait informer de son arrestation. L’intégration du prévenu en Suisse devait par ailleurs être relativisée puisqu’il faisait l’objet de poursuites et qu’il avait eu besoin des services d’un interprète pour son audition, alors qu’il était établi dans le canton de Vaud depuis 14 ans. Vu la gravité des infractions qui lui étaient reprochées et le peu d’attaches qu’il avait avec la Suisse, le risque qu’il quitte le pays pour échapper aux conséquences de ses actes était par conséquent très concret. Force est de constater que le recourant ne fait valoir aucun élément propre à modifier cette appréciation. Peu importe que la plaignante ait désormais été entendue par le Ministère public. Seul un risque de fuite a été retenu par le premier juge (et allégué par le Ministère public) et ce risque, au vu des circonstances mentionnées ci-dessus, demeure actuel.</w:t>
      </w:r>
    </w:p>
    <w:p>
      <w:r>
        <w:rPr>
          <w:b/>
        </w:rPr>
        <w:t>E. 4.1</w:t>
      </w:r>
    </w:p>
    <w:p>
      <w:r>
        <w:t>Le recourant soutient subsidiairement que des mesures de substitution seraient à même de pallier le risque de fuite. Il soutient que le dépôt de son passeport avec l’obligation de se présenter régulièrement à un poste de police et de verser une caution de 10'000 fr. – montant qui correspondrait à deux voire trois salaires pour lui et à un salaire annuel en [...] – permettrait de garantir sa présence en Suisse.</w:t>
      </w:r>
    </w:p>
    <w:p>
      <w:r>
        <w:rPr>
          <w:b/>
        </w:rPr>
        <w:t>E. 4.2</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 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 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 et al. [éd.], Commentaire romand, Code de procédure pénale suisse, 2 e éd., Bâle 2019, n. 2 ad art. 237 CPP). Le juge de la détention peut également, le cas échéant, assortir les mesures de substitution de toute condition propre à en garantir l’efficacité (ATF 145 IV 503 consid. 3.1). Selon l’art. 238 al. 1 CPP, s’il y a danger de fuite, le tribunal peut astreindre le prévenu au versement d’une somme d’argent afin de garantir qu’il se présentera aux actes de procédure et qu’il se soumettra à l’exécution d’une sanction privative de liberté. Le montant des sûretés dépend de la gravité des actes reprochés au prévenu et de sa situation personnelle (art. 238 al. 2 CPP).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et de la confiance qu'on peut avoir que la perspective de perdre le montant agira comme un frein suffisamment puissant pour écarter toute velléité de fuite (cf. ATF 105 Ia 186 consid. 4a ; TF 1B_610/2022 du 19 décembre 2022 consid. 2.1). Il convient également de faire preuve de prudence quant à l'origine des fonds proposés comme sûretés. De plus, même une caution élevée peut ne pas suffire pour pallier un risque de fuite lorsque la situation financière du prévenu ou celle des personnes appelées à servir de caution est incomplète ou présente des incertitudes. Enfin, le juge de la détention peut renoncer à ordonner une mise en liberté sous caution ou moyennant le versement de sûretés lorsqu'il a la conviction que cette mesure ne suffira pas à garantir la présence de l'inculpé aux débats et, le cas échéant, sa soumission au jugement (TF 1B_610/2022 précité consid. 2.1 ; TF 1B_427/2022 du 9 septembre 2022 consid. 3.1).</w:t>
      </w:r>
    </w:p>
    <w:p>
      <w:r>
        <w:rPr>
          <w:b/>
        </w:rPr>
        <w:t>E. 4.3</w:t>
      </w:r>
    </w:p>
    <w:p>
      <w:r>
        <w:t>En l’espèce, aucune des mesures de substitution proposées par le recourant n’est susceptible de prévenir efficacement le risque de fuite constaté. En effet, compte tenu de la probabilité que le recourant cherche à se soustraire à la justice, il faut considérer, avec la jurisprudence constante du Tribunal fédéral, que le dépôt de ses documents d'identité, même assorti d’une assignation à résidence combinée avec une mesure de surveillance électronique, ou encore l’obligation de se présenter à un service administratif, n’est pas suffisamment efficace pour prévenir un risque sérieux de départ à l’étranger ou de disparition dans la clandestinité (TF 1B_228/2022 du 20 mai 2022 consid. 5.2 ; TF 1B_66/2022 du 28 février 2022 consid. 4.1 ; TF 1B_158/2021 du 20 avril 2021 consid. 3.5 ; cf. également ATF 145 IV 503 précité consid. 3.3.1). Quant au versement d’une caution de 10'000 fr., le recourant allègue que ce montant représenterait pour lui deux voire trois salaires en Suisse. Contrairement à ce qu’il soutient, la Chambre de céans considère que la perte d’un tel montant n’est nullement susceptible de dissuader le prévenu de quitter la Suisse afin de se soustraire à une éventuelle condamnation. Pour le surplus, la durée de la détention provisoire ordonnée respecte à ce stade le principe de la proportionnalité, compte tenu de la peine envisageable (cf. art. 212 al. 3 CPP).</w:t>
      </w:r>
    </w:p>
    <w:p>
      <w:r>
        <w:rPr>
          <w:b/>
        </w:rPr>
        <w:t>E. 5</w:t>
      </w:r>
    </w:p>
    <w:p>
      <w:r>
        <w:t>En définitive, le recours, manifestement mal fondé, doit être rejeté sans échange d’écritures (art. 390 al. 2 CPP) et l’ordonnance entreprise confirmée. Les frais de la procédure de recours sont fixés à 1’210 fr. (art. 20 al. 1 TFIP [Tarif des frais de procédure et indemnités en matière pénale du 28 septembre 2010 ; BLV 312.03.1]). Au vu du travail accompli par Me Sébastien Pedroli, défenseur d’office du recourant, il sera retenu deux heures et trente minutes d’activité nécessaire d’avocat au tarif horaire de 180 fr. (art. 2 al. 1 let. a et 3 al. 2 RAJ [Règlement sur l'assistance judiciaire en matière civile du 7 décembre 2010 ; BLV 211.02.3] par renvoi de l’art. 26b TFIP), soit 450 francs. S’y ajoutent 2 % pour les débours (art. 3 bis al. 1 RAJ par renvoi de l’art. 26b TFIP), soit 9 fr., et 7,7 % de TVA sur le tout, de sorte que l’indemnité d’office s’élève au total à 495 fr. en chiffres arrondis.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rejeté. II. L’ordonnance du 26 avril 2023 est confirmée. III. L’indemnité allouée à Me Sébastien Pedroli, défenseur d’office de A.U.________, est fixée à 495 fr. (quatre cent nonante-cinq francs). IV. Les frais d’arrêt, par 1’210 fr. (mille deux cent dix francs), ainsi que l’indemnité allouée à Me Sébastien Pedroli, par 495 fr. (quatre cent nonante-cinq francs), sont mis à la charge de A.U.________. V. Le remboursement à l’Etat de l’indemnité allouée sous chiffre III ci-dessus ne sera exigible de A.U.________ que pour autant que sa situation financière le permette. VI. L’arrêt est exécutoire. La présidente : La greffière : Du Le présent arrêt, dont la rédaction a été approuvée à huis clos, est notifié, par l'envoi d'une copie complète, à : - Me Sébastien Pedroli, avocat (pour A.U.________), - Ministère public central, et communiqué à : - Mme la Procureure de l’arrondissement du Nord vaudois, - Mme la Présidente du Tribunal des mesures de contrainte, - Service de la population, - Me Isabelle Jaques, avocate (pour P.________),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