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336 vom 13. April 2023</w:t>
      </w:r>
    </w:p>
    <w:p>
      <w:r>
        <w:t>VD Tribunal cantonal, 2023-04-13, FR</w:t>
      </w:r>
    </w:p>
    <w:p>
      <w:r>
        <w:rPr>
          <w:b/>
        </w:rPr>
        <w:t xml:space="preserve">Quelle: </w:t>
      </w:r>
      <w:r>
        <w:t>https://mcp.opencaselaw.ch/entscheid/vd_findinfo_D_cision___2023___336</w:t>
      </w:r>
    </w:p>
    <w:p>
      <w:r>
        <w:t>FR: VD_FINDINFO Décision / 2023 / 336 du 13 avril 2023</w:t>
      </w:r>
    </w:p>
    <w:p>
      <w:r>
        <w:t>IT: VD_FINDINFO Décision / 2023 / 336 del 13 aprile 2023</w:t>
      </w:r>
    </w:p>
    <w:p>
      <w:pPr>
        <w:pStyle w:val="Heading2"/>
      </w:pPr>
      <w:r>
        <w:t>Regeste</w:t>
      </w:r>
    </w:p>
    <w:p>
      <w:r>
        <w:t>ADMISSION DE LA DEMANDE, REFORMATIO IN PEJUS, COMPLEXITÉ DE LA PROCÉDURE, DÉFENSE D'OFFICE | 148a CP, 66a al. 1 let. e CP, 132 al. 1 let. b CPP (CH), 132 al. 2 CPP (CH), 393 al. 1 let. a CPP (CH)</w:t>
      </w:r>
    </w:p>
    <w:p>
      <w:pPr>
        <w:pStyle w:val="Heading2"/>
      </w:pPr>
      <w:r>
        <w:t>Erwägungen</w:t>
      </w:r>
    </w:p>
    <w:p>
      <w:r>
        <w:rPr>
          <w:b/>
        </w:rPr>
        <w:t>E. 1.1</w:t>
      </w:r>
    </w:p>
    <w:p>
      <w:r>
        <w:t>Aux termes de l’art. 393 al. 1 let. a CPP, le recours est recevable contre les décisions et actes de procédure du Ministère public. Une décision du Ministère public refusant d’ordonner une défense d’office (art. 132 CPP) est ainsi susceptible de recours selon les art. 393 ss CPP (Harari/Corminboeuf Harari, in : Jeanneret et al. [éd.], Commen­taire romand, Code de procédure pénale suisse,</w:t>
      </w:r>
    </w:p>
    <w:p>
      <w:r>
        <w:rPr>
          <w:b/>
        </w:rPr>
        <w:t>E. 1.2</w:t>
      </w:r>
    </w:p>
    <w:p>
      <w:r>
        <w:t>Interjeté en temps utile devant l’autorité compétente, par une partie qui a qualité pour recourir (art. 382 al. 1 CPP) et dans les formes prescrites (art. 385 al. 1 CPP), le recours d’S.________ est recevable.</w:t>
      </w:r>
    </w:p>
    <w:p>
      <w:r>
        <w:rPr>
          <w:b/>
        </w:rPr>
        <w:t>E. 2</w:t>
      </w:r>
    </w:p>
    <w:p>
      <w:r>
        <w:t>e éd., Bâle 2019 [ci-après : CR CPP], n. 11 ad art. 132 CPP et n. 16 ad art. 136 CPP). Le recours doit être adressé par écrit, dans un délai de dix jours dès la notification des décision attaquées (cf. art. 384 let. b CPP), à l’autorité de recours (cf. art. 20 al. 1 let. b CPP) qui, dans le canton de Vaud, est la Chambre des recours pénale du Tribunal cantonal (art. 13 LVCPP [Loi d’introduction du code de procédure pénale suisse; BLV 312.01]; art. 80 LOJV [Loi d’organisation judiciaire; BLV 173.01]).</w:t>
      </w:r>
    </w:p>
    <w:p>
      <w:r>
        <w:rPr>
          <w:b/>
        </w:rPr>
        <w:t>E. 2.1</w:t>
      </w:r>
    </w:p>
    <w:p>
      <w:r>
        <w:t>Invoquant une violation du droit, le recourant reproche au Ministère public d’avoir refusé de lui désigner un défenseur d’office. Il soutient que sa situation financière serait obérée et que la cause ne serait pas de peu de gravité. Il fait valoir que, en cas d’opposition à l’ordonnance pénale, le tribunal saisi ne serait pas lié par la qualification juridique des faits opérée par le Ministère public, et donc par les infractions retenues et par la sanction infligée, que le tribunal pourrait décider d’appliquer l’art. 66a CP, que, d’origine syrienne, il ne maîtriserait pas la langue française, qu’il n’aurait pas de formation suffisante pour comprendre l’entier de son dossier et qu’il n’aurait aucune expérience en matière judiciaire.</w:t>
      </w:r>
    </w:p>
    <w:p>
      <w:r>
        <w:rPr>
          <w:b/>
        </w:rPr>
        <w:t>E. 2.2</w:t>
      </w:r>
    </w:p>
    <w:p>
      <w:r>
        <w:t>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 devant le tribunal de première instance ou la juridiction d’appel (let. d), ou si une procédure simplifiée (art. 358 à 362 CPP) est mise en œuvre (let. e).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(Harari/Jakob/Santamaria, in : CR CPP, op. cit., n. 55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La deuxième condition s'interprète à l'aune des critères mentionnés à l'art. 132 al. 2 et 3 CPP. Ainsi, les intérêts du prévenu indigent justifient une défense d’office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w:t>
      </w:r>
    </w:p>
    <w:p>
      <w:r>
        <w:rPr>
          <w:b/>
        </w:rPr>
        <w:t>E. 2.3.1</w:t>
      </w:r>
    </w:p>
    <w:p>
      <w:r>
        <w:t>L’ordonnance pénale constitue une proposition de règlement extrajudi­ciaire d’une affaire pénale, non sujette à négociation, qui ne peut être contestée que par la voie de l’opposition, ce qui aura pour effet de déclencher la procédure judiciaire au cours de laquelle le tribunal examinera le bien-fondé des accusations portées contre le prévenu dans l’ordonnance pénale. L’opposition n’est pas considérée comme une voie de recours mais plutôt comme une simple déclaration de volonté déclenchant la procédure ordinaire (Gilliéron/Killias, in : CR CPP, op. cit., n. 1 ad art. 354 CPP ; Moreillon/Parein-Reymond, Petit commentaire du Code de procédure pénale, 2 e éd., Bâle 2016, nn. 2-3 ad art. 354 CPP). Le tribunal jugera alors l’affaire comme s’il n’y avait jamais eu de décision. En conséquence, l’inter­diction de la reformatio in pejus ne s’applique pas et le juge a la possibilité de prononcer une sentence plus sévère que celle proposée par le procureur (Gilliéron/Killias, in : CR CPP, op. cit., n. 1 ad art. 354 CPP ; Moreillon/Parein-Reymond, op. cit., n. 4 ad art. 354 CPP).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w:t>
      </w:r>
    </w:p>
    <w:p>
      <w:r>
        <w:rPr>
          <w:b/>
        </w:rPr>
        <w:t>E. 2.3.2</w:t>
      </w:r>
    </w:p>
    <w:p>
      <w:r>
        <w:t>A teneur de l'art. 148a CP, entré en vigueur le 1 er octobre 2016 (Recueil officiel du droit fédéral [RO] 2016 p. 2329),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(al. 1). Dans les cas de peu de gravité, la peine est l'amende (al. 2). L'art. 66a al. 1 let. e CP prévoit une expulsion obligatoire pour une durée de cinq à quinze ans uniquement dans le cas de condamnation pour escroquerie (art. 146 al. 1 CP) à une assurance sociale ou à l’aide sociale et obtention illicite de prestations d’une assurance sociale ou de l’aide sociale au sens de l’art. 148a al. 1 CP. Selon l’art. 66a al. 2 CP, le juge peut exceptionnellement renoncer à une expulsion, à certaines conditions. L’art. 66a CP ne s’applique qu’aux infractions commises après le 1 er octobre 2016 (art. 2 al. 1 CP ; TF 6B_798/2022 du 29 mars 2023 consid. 1.2). Lorsqu’il examine s’il est en présence d’un cas de rigueur au sens de l’art. 66a al. 2 CP, le juge doit procéder à une pesée des intérêts, afin de déterminer lequel de l’intérêt public à l’expulsion ou de l’intérêt privé de l’étranger à rester en Suisse l’emporte ; dans ce cadre, il apprécie le risque de récidive au regard de l’ensemble du comportement de l’intéressé ; à cet effet, il prend en compte les comportements délictueux de l’étranger antérieurs à l’entrée en vigueur de l’art. 66a CP (cf. ATF 146 II 1 consid. 2.1.2 ; TF 6B_798/2022 précité consid. 1.2). Comme on l’a vu, l’art. 66a al. 1 let. e CP ne prévoit pas l’expulsion obligatoire pour l’infraction de l’art. 148a al. 2 CP, soit pour l’obtention illicite de prestations d’une assurance sociale ou de l’aide sociale de peu de gravité. La loi ne définit pas le cas de peu de gravité. Il n'a pas été question jusqu'ici de fixer précisément le montant à considérer à titre de seuil de gravité. Le Tribunal fédéral a toutefois mentionné le montant de 3'000 fr., tout en retenant qu’à côté de l'ampleur du résultat de l'infraction, les circonstances de l’ensemble du cas d’espèce devaient être appréciées, comme par exemple la période de perception illicite de prestations, la motivation de l’auteur ou l’intensité de l’énergie criminelle du prévenu (TF 6B_104/2022 du 8 février 2023 consid. 2.1.4 ; TF 6B_1400/2021 du 20 décembre 2022 consid. 4). Le Tribunal fédéral a notamment jugé que le cas de peu de gravité devait être écarté lorsque des prestations indues d’un montant total de 26'190 fr. avaient été perçues sur une période de plusieurs mois (TF 6B_104/2022 du 8 février 2023) et lorsqu’un dommage totalisant 14'200 fr. était associé à un comportement illicite d’un célibataire sur une durée de 2 ans (TF 6B_797/2021 du 20 juillet 2022).</w:t>
      </w:r>
    </w:p>
    <w:p>
      <w:r>
        <w:rPr>
          <w:b/>
        </w:rPr>
        <w:t>E. 2.4</w:t>
      </w:r>
    </w:p>
    <w:p>
      <w:r>
        <w:t>En l’espèce, l’indigence d’S.________ n’est pas contestée, le Ministère public ne la mentionnant au demeurant pas dans l’ordonnance du 14 mars 2023, et le prévenu travaillant pour un salaire pouvant atteindre 1'200 fr. par mois, auquel s’ajoutent des prestations complémentaires-famille, par 900 fr., et des allocations familiales, par 700 fr., si bien que la première condition de l’art. 132 al. 1 let. b CPP est remplie. Seule demeure donc litigieuse la question de savoir si l’assistance d’un défenseur d’office est justifiée pour la sauvegarde des intérêts du recourant, respectivement si l’affaire n’est pas de peu de gravité et qu’elle présente, sur le plan des faits et du droit, des difficultés que l’intéressé seul ne pourrait pas surmonter. La procureure envisage de rendre une ordonnance de condamnation à l’endroit du recourant et de faire application de l’art. 148a al. 2 CP, infraction de peu de gravité qui n’entraînerait pas l’expulsion obligatoire d’S.________. Comme le relève à juste titre le recourant, une opposition à cette ordonnance pénale aurait pour conséquence que la cause serait jugée par un tribunal, lequel examinerait les accu­sations portées contre le prévenu comme s’il n’y avait jamais eu de décision sur celles-ci et ne serait pas lié par l’interprétation de l’art. 148a al. 2 CP faite par la procureure, pas plus que par ses projections s’agissant de son éventuelle expulsion du territoire suisse. Le principe de l’interdiction de la reformatio in pejus n’étant pas applicable en cas d’opposition à une ordonnance pénale, on ne peut exclure, sans préjuger du sort de la cause, que le tribunal sanctionne le recourant plus sévèrement que le Ministère public. Dans ces circonstances, le recourant, qui ne maîtrise ni la langue française ni ces éléments de procédure judiciaire, n’est pas en mesure de faire valoir tous les moyens à sa disposition sans l’assistance d’un défenseur d’office. Mais il y a plus. La cause semble plus complexe en fait et en droit et plus sérieuse que ce qu’il paraît. Alors même que l’art. 148a CP est entré en vigueur le 1 er octobre 2016 et que la procureure retient que, depuis cette date, seuls 2'715 fr. 22 ont été perçus indûment par le recourant, le seuil de gravité de 3'000 fr. est proche pour les montants perçus depuis le 1 er octobre 2016. Il s’ensuit que, du point de vue juridique, la cause n’est pas si simple, puisqu’elle suppose d’établir et d’apprécier un certain nombre de circonstances. De plus, la procureure n’a à première vue pas pris en considération les divers comptes utilisés par le recourant pour dissimuler ses revenus, ni les autres montants découverts sur les comptes bancaires du recourant dont a fait état le CSR dans sa dénonciation (P. 4), comme le prévoit la jurisprudence citée plus haut. Il s’ensuit que, du point de vue factuel, la cause pourrait présenter des difficultés. En conclusion, même si le cas de peu de gravité est retenu par la procureure dans une ordonnance de condamnation, le tribunal saisi de la cause sur opposition pourrait tout à fait en décider autrement. Vu les éléments qui précèdent, les conditions de la désignation d’un défenseur d’office à S.________ sont réunies, ne serait-ce que pour que celui-ci puisse, en toute connaissance de cause, évaluer l’opportunité de faire opposition.</w:t>
      </w:r>
    </w:p>
    <w:p>
      <w:r>
        <w:rPr>
          <w:b/>
        </w:rPr>
        <w:t>E. 3</w:t>
      </w:r>
    </w:p>
    <w:p>
      <w:r>
        <w:t>En définitive, le recours doit être admis et l’ordonnance entreprise réformée en ce sens que l’avocat Astyanax Peca est désigné en qualité de défenseur d’office d’S.________. La désignation prendra effet au jour du dépôt de la demande, soit le 24 janvier 2023 (CREP 27 mai 2022/368 ; CREP 12 septem-­ bre 2021/804). L’ordonnance sera confirmée pour le surplus. Vu le sort du recours, les frais de la procédure de recours, constitués en l’espèce de l’émolument d'arrêt, par 1'210 fr. (art. 20 al. 1 TFIP [Tarif des frais de procédure et indemnités en matière pénale du 28 septembre 2010 ; BLV 312.03.1]), et des frais imputables à la défense d’office (art. 422 al. 1 et 2 let. a CPP), fixés à 360 fr. sur la base d’une activité nécessaire d’avocat estimée à 2 heures au tarif horaire de 180 fr., auxquels il convient d’ajouter des débours forfaitaires à concurrence de 2 % (art. 3bis al. 1 RAJ [Règlement sur l’assistance judiciaire en matière civile du 7 décembre 2010 ; BLV 211.02.3], applicable par renvoi de l’art. 26b TFIP), par 7 fr. 20, et la TVA sur le tout, par 28 fr. 25, soit à 396 fr. au total en chiffres arrondis, seront laissés à la charge de l’Etat (art. 423 al. 1 CPP). Par ces motifs, la Chambre des recours pénale prononce : I. Le recours est admis. II. L’ordonnance du 14 mars 2023 est réformée au chiffre I de son dispositif en ce sens que Me Astyanax Peca est désigné en qualité de défenseur d’office d’S.________ avec effet au 24 janvier 2023. L’ordonnance est confirmée pour le surplus. III. L’indemnité allouée à Me Astyanax Peca, défenseur d’office du recourant, pour la procédure de recours, est fixée à 396 fr. (trois cent nonante-six francs), TVA et débours compris. IV. Les frais d’arrêt, par 1'210 fr. (mille deux cent dix francs), ainsi que l’indemnité due au défenseur d’office du recourant, par 396 fr. (trois cent nonante-six francs), sont laissés à la charge de l’Etat. V. L’arrêt est exécutoire. La présidente :               La greffière : Du Le présent arrêt, dont la rédaction a été approuvée à huis clos, est notifié, par l'envoi d'une copie complète, à : - Me Astyanax Peca (pour S.________), - Ministère public central, et communiqué à : ‑ Mme la Procureure de l’arrondissement de l’Est vaudois, - Service de la population, division étrangers (S.________, né le [...].1968),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