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330 vom 4. Mai 2023</w:t>
      </w:r>
    </w:p>
    <w:p>
      <w:r>
        <w:t>VD Tribunal cantonal, 2023-05-04, FR</w:t>
      </w:r>
    </w:p>
    <w:p>
      <w:r>
        <w:rPr>
          <w:b/>
        </w:rPr>
        <w:t xml:space="preserve">Quelle: </w:t>
      </w:r>
      <w:r>
        <w:t>https://mcp.opencaselaw.ch/entscheid/vd_findinfo_D_cision___2023___330</w:t>
      </w:r>
    </w:p>
    <w:p>
      <w:r>
        <w:t>FR: VD_FINDINFO Décision / 2023 / 330 du 4 mai 2023</w:t>
      </w:r>
    </w:p>
    <w:p>
      <w:r>
        <w:t>IT: VD_FINDINFO Décision / 2023 / 330 del 4 maggio 2023</w:t>
      </w:r>
    </w:p>
    <w:p>
      <w:pPr>
        <w:pStyle w:val="Heading2"/>
      </w:pPr>
      <w:r>
        <w:t>Regeste</w:t>
      </w:r>
    </w:p>
    <w:p>
      <w:r>
        <w:t>SOUPÇON, DÉTENTION PROVISOIRE, RISQUE DE FUITE, RISQUE DE RÉCIDIVE, REJET DE LA DEMANDE | 221 al. 1 let. a CPP (CH), 221 al. 1 let. b CPP (CH), 221 al. 1 let. c CPP (CH), 226 al. 3 CPP (CH), 227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auprès de l’autorité compétente (art. 13 al. 1 LVCPP [Loi d’introduction du Code de procédure pénale suisse du 19 mai 2009 ; BLV 312.01] ; art. 80 al. 1 let. c LOJV [Loi d’organisation judiciaire du 12 décembre 1979 ; BLV 173.01]), le recours de Bassem Haddad est à cet égard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Le recourant s’en est remis à justice s’agissant de l’existence de sérieux soupçons de culpabilité tout en invoquant divers arguments pour contester le chef de tentative de meurtre pour lequel il est soupçonné. Il soutient que son geste (vitesse du véhicule) n’était pas propre à causer la mort et que son comportement après l’accident démontrait qu’il n’avait jamais eu l’intention d’ôter la vie du plaignant.</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1B_139/2020 du 15 avril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3.1 et les arrêts cités).</w:t>
      </w:r>
    </w:p>
    <w:p>
      <w:r>
        <w:rPr>
          <w:b/>
        </w:rPr>
        <w:t>E. 3.3</w:t>
      </w:r>
    </w:p>
    <w:p>
      <w:r>
        <w:t>En l’espèce, c’est en vain que le recourant, tout en s’en remettant à justice sur l’existence de soupçons suffisants, invoque divers arguments pour en contester l’existence. En effet, le tribunal a relevé qu’il avait modifié ses déclarations à de nombreuses reprises. Par ailleurs, les éléments techniques recueillis au dossier avaient démontré que, contrairement à ce qu’il avait indiqué, aucun appel ne figurait dans le registre y relatif de son téléphone, ni aucune activité dans ses diverses applications. Il ressortait en outre du rapport d’investigation de la police du 14 décembre 2021 que le tapis de sol de la voiture utilisée par le recourant n’enfonçait nullement la pédale d’accélération et que le véhicule ne présentait pas d’autre défectuosité. L’appréciation du tribunal ne prête pas le flanc à la critique et doit être confirmée. En effet, comme déjà relevé par le Tribunal fédéral dans son arrêt du 4 janvier 2022 précité (consid. 3.2), il existe depuis le stade initial de l’enquête un faisceau d’indices suffisant pour justifier le placement en détention provisoire, à savoir les témoignages recueillis sur place par la police selon lesquels le recourant, qui avait stationné sa voiture dans une contre-allée, l’avant en direction de la route, aurait démarré en trombe, sans motif apparent, pour aller délibérément heurter la victime. En outre, le recourant a admis être en conflit avec la victime (dont l’étude d’avocats était située à proximité du lieu des faits), contre laquelle il avait déposé plainte, précisant même avoir porté l’affaire devant la Cour européenne des droits de l’homme. Enfin, le recourant a donné plusieurs versions confuses et contradictoires sur les circonstances de sa présence dans la contre-allée et son affirmation selon laquelle il n’avait pas tout de suite reconnu la victime apparait peu crédible dans la mesure où celle-ci était son ex-avocat et son curateur.</w:t>
      </w:r>
    </w:p>
    <w:p>
      <w:r>
        <w:rPr>
          <w:b/>
        </w:rPr>
        <w:t>E. 4.1</w:t>
      </w:r>
    </w:p>
    <w:p>
      <w:r>
        <w:t>Le recourant conteste le risque de fuite retenu par le tribunal, soutenant qu’il ne reposerait que sur des suppositions. Il affirme que depuis son incarcération en octobre 2021, ses contacts avec son entourage à l’étranger ne permettaient pas de déceler un tel risque. Il relève qu’il n’a été qu’une fois sans domicile fixe sans que cela soit une habitude. Il indique être toujours locataire d’un appartement à [...] dont il continue de payer le loyer ce qui prouverait qu’il a la ferme volonté d’y demeurer et qu’il n’existe pas d’indice concret au dossier de soustraction à la procédure.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En l’espèce, et comme le Tribunal des mesures de contrainte, la Chambre de céans considère que le risque de fuite est concret nonobstant la nationalité suisse du recourant. En effet, ce dernier ne conteste pas les liens solides qu’il entretient avec sa famille à l’étranger (une sœur au Canada et un frère en France) qui le soutient (P. 210 et 214). Or, les frontières terrestres en direction de la France, notamment, sont facilement franchissables. Les faits reprochés au recourant sont graves puisqu'ils touchent à la vie et à l'intégrité physique et ce dernier encourt une peine importante, alors qu’il s’estime victime de la justice suisse. Ces éléments rendent d’autant plus concret le risque qu’il se soustraie à la justice, alors que sa présence est indispensable pour la suite de l’enquête. Partant, c’est à raison que le tribunal a considéré le risque de fuite comme concret. La location d’un appartement en Suisse ne constitue pas un élément propre à contrebalancer ce qui précède.</w:t>
      </w:r>
    </w:p>
    <w:p>
      <w:r>
        <w:rPr>
          <w:b/>
        </w:rPr>
        <w:t>E. 5.1</w:t>
      </w:r>
    </w:p>
    <w:p>
      <w:r>
        <w:t>; ATF 139 IV 270 précité).</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w:t>
      </w:r>
    </w:p>
    <w:p>
      <w:r>
        <w:rPr>
          <w:b/>
        </w:rPr>
        <w:t>E. 5.3</w:t>
      </w:r>
    </w:p>
    <w:p>
      <w:r>
        <w:t>En l’espèce, le Tribunal fédéral a déjà considéré en janvier 2022 que l’absence de condamnation du recourant pour des faits du même genre n’était pas déterminante pour renoncer à son maintien en détention (TF 1B_668/2021 précité, consid. 4.2). En effet, les infractions qui pourraient être retenues à sa charge sont très graves et la thèse de l’accident est peu crédible, de sorte qu’une extrême prudence se justifie toujours. Les conclusions de l’expertise psychiatrique du 5 septembre 2022 confirment en outre que ce risque est concret dans la mesure où le recourant souffre d’un grave trouble psychique, actuellement décompensé, impliquant un fort sentiment de persécution et une perte partielle de l’ancrage dans la réalité, qu’il est anosognosique de ses troubles psychiques, qu’il ne bénéficie d’aucun suivi ou traitement médicamenteux, ni soutien social, retenant un risque de récidive élevé pour des faits de même nature et que le risque de récidive pour des actes de même nature est élevé (P. 164, pp 16 à 24). Au vu de ce qui précède, le risque de récidive doit être manifestement confirmé.</w:t>
      </w:r>
    </w:p>
    <w:p>
      <w:r>
        <w:rPr>
          <w:b/>
        </w:rPr>
        <w:t>E. 6.1</w:t>
      </w:r>
    </w:p>
    <w:p>
      <w:r>
        <w:t>Le recourant estime que la prolongation de la détention est disproportionnée et conclu au prononcé de mesures de substitution à forme d’assignation à résidence et d’une obligation à suivre un traitement psychiatrique.</w:t>
      </w:r>
    </w:p>
    <w:p>
      <w:r>
        <w:rPr>
          <w:b/>
        </w:rPr>
        <w:t>E. 6.2.1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L'art. 237 al. 3 CPP précise que, pour surveiller l'exécution de ces mesures, le tribunal peut ordonner l'utilisation d'appareils techniques qui peuvent être fixés à la personne sous surveillance. En présence d’un risque de fuite évident, une saisie des documents d’identité, une assignation à résidence – même assortie du bracelet électronique – et la présentation à un poste de police ne sont pas de nature à empêcher une personne de s’enfuir à l’étranger, voire de passer dans la clandestinité (ATF 145 IV 503 consid. 3.2).</w:t>
      </w:r>
    </w:p>
    <w:p>
      <w:r>
        <w:rPr>
          <w:b/>
        </w:rPr>
        <w:t>E. 6.2.2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w:t>
      </w:r>
    </w:p>
    <w:p>
      <w:r>
        <w:rPr>
          <w:b/>
        </w:rPr>
        <w:t>E. 6.3</w:t>
      </w:r>
    </w:p>
    <w:p>
      <w:r>
        <w:t>En l’espèce, les éléments retenus par la Chambre de céans dans son arrêt du 31 octobre 2021, confirmé par le Tribunal fédéral le 4 janvier 2022, gardent toute leur pertinence. En outre, depuis lors, un rapport d’expertise psychiatrique a été rendu qui préconise l’institution d’une mesure thérapeutique institutionnelle au sens de l’art. 59 CP, précédé d’un séjour dans un établissement de soins sécurisé. Ainsi, compte tenu de l’existence d’un risque de récidive concret (cf. consid. 5.3 supra), de la nature des biens juridiques en cause et des conclusions de l’expertise précitée, la mesure de substitution proposée par le recourant sous la forme d’une assignation à résidence assortie de l’obligation de porter un bracelet électronique, n’est pas du tout suffisante pour pallier le risque de récidive. Enfin, dans la mesure où le recourant souffre d’un grave trouble psychique et qu’il est anosognosique, son engagement à se soumettre à un traitement ambulatoire n’est à l’évidence pas suffisant non plus pour pallier le risque élevé de récidive retenu. Compte tenu de ce qui précède, les mesures de substitution proposées ne permettent pas de palier les risques de récidive et de fuite retenus et ne permettraient que de constater a posteriori qu’elles ont été violées. Enfin, au vu de la gravité des actes reprochés, la peine privative de liberté concrètement prévisible est largement supérieure à la détention que le recourant aura subi en date du 18 juillet 2023. Le principe de proportionnalité (art. 212 al. 3 CPP) est dès lors encore respecté.</w:t>
      </w:r>
    </w:p>
    <w:p>
      <w:r>
        <w:rPr>
          <w:b/>
        </w:rPr>
        <w:t>E. 7</w:t>
      </w:r>
    </w:p>
    <w:p>
      <w:r>
        <w:t>Il résulte de ce qui précède que le recours, manifestement mal fondé, doit être rejeté sans échange d’écritures (art. 390 al. 2 CPP) et l’ordonnance attaquée confirmée. Au vu de la nature de l’affaire et du mémoire de recours produit, qui reprend des arguments précédemment invoqués, l’indemnité allouée au défenseur d’office de A.W.________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1’320 fr. (art. 20 al. 1 TFIP), et des frais imputables à la défense d’office de A.W.________ (art. 422 al. 1 et 2 let. a CPP), fixés à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avril 2023 est confirmée. III. L’indemnité allouée au défenseur d’office de A.W.________ est fixée à 396 fr. (trois cent nonante-six francs). IV. Les frais d’arrêt, par 1’320 fr. (mille trois cent vingt francs), ainsi que l’indemnité due au défenseur d’office du recourant, par 396 fr. (trois cent nonante-six francs), sont mis à la charge de A.W.________. V. Le remboursement à l’Etat de l’indemnité allouée au chiffre III ci-dessus ne sera exigible que pour autant que la situation financière de A.W.________ le permette. VI. L’arrêt est exécutoire. La présidente :               La greffière : Du Le présent arrêt, dont la rédaction a été approuvée à huis clos, est notifié, par l'envoi d'une copie complète, à : - Me Jérôme Reymond, avocat (pour A.W.________), - Ministère public central, et communiqué à : ‑ Mme la Présidente du Tribunal des mesures de contrainte, - Madame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