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327 vom 11. April 2023</w:t>
      </w:r>
    </w:p>
    <w:p>
      <w:r>
        <w:t>VD Tribunal cantonal, 2023-04-11, FR</w:t>
      </w:r>
    </w:p>
    <w:p>
      <w:r>
        <w:rPr>
          <w:b/>
        </w:rPr>
        <w:t xml:space="preserve">Quelle: </w:t>
      </w:r>
      <w:r>
        <w:t>https://mcp.opencaselaw.ch/entscheid/vd_findinfo_D_cision___2023___327</w:t>
      </w:r>
    </w:p>
    <w:p>
      <w:r>
        <w:t>FR: VD_FINDINFO Décision / 2023 / 327 du 11 avril 2023</w:t>
      </w:r>
    </w:p>
    <w:p>
      <w:r>
        <w:t>IT: VD_FINDINFO Décision / 2023 / 327 del 11 aprile 2023</w:t>
      </w:r>
    </w:p>
    <w:p>
      <w:pPr>
        <w:pStyle w:val="Heading2"/>
      </w:pPr>
      <w:r>
        <w:t>Regeste</w:t>
      </w:r>
    </w:p>
    <w:p>
      <w:r>
        <w:t>ORDONNANCE DE SÉQUESTRE | 236 al. 1 CPP (CH)</w:t>
      </w:r>
    </w:p>
    <w:p>
      <w:pPr>
        <w:pStyle w:val="Heading2"/>
      </w:pPr>
      <w:r>
        <w:t>Erwägungen</w:t>
      </w:r>
    </w:p>
    <w:p>
      <w:r>
        <w:rPr>
          <w:b/>
        </w:rPr>
        <w:t>E. 1.1</w:t>
      </w:r>
    </w:p>
    <w:p>
      <w:r>
        <w:t>Selon l’art. 393 al. 1 let. a CPP, le recours est recevable contre les décisions et actes de procédure du Ministère public. Une ordonnance de séquestre (art. 263 CPP) rendue par le Ministère public est ainsi susceptible de recours selon les art. 393 ss CPP (Moreillon/Parein-Reymond, Code de procédure pénale, Petit commentaire, 2e éd., Bâle 2016, n. 24 ad art. 263 CPP ; Lembo/Nerushay, in : Kuhn/Jeanneret/Perrier Depeursinge [éd.], Commentaire romand, Code de procédure pénale suisse, 2 e éd., Bâle 2019 [ci-après : CR-CPP],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Interjeté en temps utile et auprès de l’autorité compétente par la prévenue, détentrice des valeurs séquestrées, qui a un intérêt juridique à l’annulation de l’ordonnance querellée (art. 382 al. 1 CPP), et dans les formes prescrites (art. 385 al. 1 CPP), le recours est recevable.</w:t>
      </w:r>
    </w:p>
    <w:p>
      <w:r>
        <w:rPr>
          <w:b/>
        </w:rPr>
        <w:t>E. 2.1</w:t>
      </w:r>
    </w:p>
    <w:p>
      <w:r>
        <w:t>La recourante conteste l’ordonnance de séquestre en tant qu’elle porte sur la somme de 3'204 fr. 50 (correspondant aux 3’285 euros saisis). Elle explique qu’il s’agirait d’économies provenant en partie de l’argent qui lui aurait été donné à son arrivée au pays, et en partie de l’argent qui lui aurait été donné après la naissance de sa fille par le gouvernement. Elle explique encore que si elle a changé les francs suisses reçus en euros c’est parce qu’elle ne voulait pas dépenser cet argent, lequel était destiné à un voyage avec ses enfants pour rendre visite à leurs grands-parents au Nigéria.</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2.2.2</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 CPP, op. cit., n. 5 ad art. 263 CPP ; Bommer/Goldschmid, in : Niggli/Heer/Wiprâchtiger [éd.], Basler Kommentar, Schweizerische Strafprozessordnung, Jugendstrafprozessordnung, Art. 196-457 StPO – Art. 1-54 JStPO, 2e éd., Bâle 2014, n. 5 ante art. 263-268 CPP et n. 9 ad art. 263 CPP ; CREP 10 mars 2021/239).</w:t>
      </w:r>
    </w:p>
    <w:p>
      <w:r>
        <w:rPr>
          <w:b/>
        </w:rPr>
        <w:t>E. 2.2.3</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 semble, prima facie, subsister (ATF 140 IV 57 consid. 4.1.1 ; ATF 139 IV 250 consid. 2.1 ; ATF 137 IV 145 consid. 6.4 et réf. cit.;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 proportionnalité, l'étendue du séquestre doit rester en rapport avec le produit de l'infraction poursuivie (ATF 130 II 329 consid.</w:t>
      </w:r>
    </w:p>
    <w:p>
      <w:r>
        <w:rPr>
          <w:b/>
        </w:rPr>
        <w:t>E. 2.3</w:t>
      </w:r>
    </w:p>
    <w:p>
      <w:r>
        <w:t>La recourante justifie ses « économies » en alléguant qu’il s’agirait de sommes reçues par le gouvernement à son arrivée en Suisse ainsi qu’à la naissance de sa fille, sans toutefois produire de pièce à cet égard. Par ailleurs, lors de son audition, elle a expliqué que si ses économies étaient en euros c’était parce qu’elle avait fait du change en vue d’aller en Belgique (PV aud. 1 p. 6 R9), alors que dans son recours elle a expliqué qu’elle avait converti son argent en euros pour ne pas le dépenser car il était destiné à un voyage avec ses enfants pour rendre visite à leurs grands-parents au Nigéria. Ses explications sont contradictoires et aucun crédit ne saurait leur être accordé. En outre, on constate que le compte bancaire que détient l’intéressée auprès de l’UBS est alimenté presque exclusivement par des versements mensuels de 2'500 fr. provenant du Service des curatelles et tutelles professionnelles en faveur de l’entretien de son époux. A la date du 6 mars 2023, ce compte présentait un solde de 3'236 fr., ce qui laisse penser que la recourante bénéficie d’une autre source de revenu. Or, lors de son audition, O.________ a admis avoir servi d’intermédiaire, rétribuée à la commission, dans bon nombre de transactions, soit notamment pour plusieurs montants totalisant 23'328 fr., entre le 14 juillet 2022 et le 18 juillet 2022, pour le compte de [...] (PV aud. 1 p. 9 R 11). Par ailleurs le relevé de Cash Xpress Financial Service Sàrl, montre qu’elle figure comme bénéficiaire pour des montants totalisant plus de 31'000 fr. (P. 29). Compte tenu de ce qui précède, et faute d’autres rétributions licites étayées par pièce, c’est à raison que le Ministère public a retenu qu’il était « fort probable » que les montants de 3’204 fr. 50 et de 959 fr. 85 séquestrés proviennent de commissions touchées par O.________ en lien avec l’infraction de blanchiment d’argent pour laquelle elle est poursuivie. En conséquence, il apparaît non seulement utile, mais également nécessaire, à ce stade de l’enquête, que les fonds litigieux demeurent à disposition de la justice non seulement pour servir de moyens de preuves, mais également à titre conservatoire (art. 263 al. 1 let. a et d CPP). 3. Au vu de ce qui précède, le recours, manifestement mal fondé, doit être rejeté sans échange d’écritures (art. 390 al. 2 CPP) et l’ordonnance du 27 mars 2023 confirmée. Les frais de la procédure de recours,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27 mars 2023 est confirmée. III. Les frais d’arrêt, par 770 fr. (sept cent septante francs), sont mis à la charge de O.________. IV. L’arrêt est exécutoire. La présidente :               La greffière : Du Le présent arrêt, dont la rédaction a été approuvée à huis clos, est notifié, par l'envoi d'une copie complète, à : - Mme O.________,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TF 1B_615/2020 précité ; TF 1B_343/2020 du 3 septembre 2020 consid. 3.1 ; TF 1B_607/2019 du 5 mai 2020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