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32 vom 12. Mai 2023</w:t>
      </w:r>
    </w:p>
    <w:p>
      <w:r>
        <w:t>VD Tribunal cantonal, 2023-05-12, FR</w:t>
      </w:r>
    </w:p>
    <w:p>
      <w:r>
        <w:rPr>
          <w:b/>
        </w:rPr>
        <w:t xml:space="preserve">Quelle: </w:t>
      </w:r>
      <w:r>
        <w:t>https://mcp.opencaselaw.ch/entscheid/vd_findinfo_D_cision___2023___32</w:t>
      </w:r>
    </w:p>
    <w:p>
      <w:r>
        <w:t>FR: VD_FINDINFO Décision / 2023 / 32 du 12 mai 2023</w:t>
      </w:r>
    </w:p>
    <w:p>
      <w:r>
        <w:t>IT: VD_FINDINFO Décision / 2023 / 32 del 12 maggio 2023</w:t>
      </w:r>
    </w:p>
    <w:p>
      <w:pPr>
        <w:pStyle w:val="Heading2"/>
      </w:pPr>
      <w:r>
        <w:t>Regeste</w:t>
      </w:r>
    </w:p>
    <w:p>
      <w:r>
        <w:t>SÉQUESTRE{MESURE PROVISIONNELLE}, REJET DE LA DEMANDE | 71 al. 3 CP, 263 al. 1 let. d CPP (CH)</w:t>
      </w:r>
    </w:p>
    <w:p>
      <w:pPr>
        <w:pStyle w:val="Heading2"/>
      </w:pPr>
      <w:r>
        <w:t>Erwägungen</w:t>
      </w:r>
    </w:p>
    <w:p>
      <w:r>
        <w:rPr>
          <w:b/>
        </w:rPr>
        <w:t>E. 1.1</w:t>
      </w:r>
    </w:p>
    <w:p>
      <w:r>
        <w:t>Aux termes de l’art. 393 al. 1 let. a CPP (Code de procédure pénale suisse du 5 octobre 2007; RS 312.0), le recours est recevable contre les décisions et actes de procédure du ministère public. Une ordonnance de séquestre rendue par le ministère public dans le cadre de la procédure préliminaire, de même qu’une ordonnance de refus ou de refus partiel de levée de séquestre, est ainsi susceptible de recours selon les art. 393 ss CPP (Moreillon/Parein-Reymond, Code de procédure pénale, Petit commentaire, 2 e éd., Bâle 2016, n. 24 ad art. 263 CPP). Le recours s’exerce par écrit dans les dix jours devant l’autorité de recours (art. 396 al. 1 CPP; cf. art. 20 al. 1 let. b CPP), qui est, dans le canton de Vaud, la Chambre des recours pénale du Tribunal cantonal (art. 13 LVCPP [loi vaudoise d’introduction du Code de procédure pénale suisse du 19 mai 2009; BLV 312.01]; art. 80 LOJV [loi vaudoise d’organisation judiciaire du 12 décembre 1979; BLV 173.01]).</w:t>
      </w:r>
    </w:p>
    <w:p>
      <w:r>
        <w:rPr>
          <w:b/>
        </w:rPr>
        <w:t>E. 1.2</w:t>
      </w:r>
    </w:p>
    <w:p>
      <w:r>
        <w:t>Interjeté en temps utile, auprès de l’autorité compétente et dans les formes prescrites (art. 385 al. 1 CPP), par les ayant droits des comptes bancaires séquestrés, respectivement par les propriétaires de l’immeuble grevé d’une restriction au droit d’aliéner, et qui ont donc un intérêt juridique à l’annulation ou à la modification de l’ordonnance attaquée (art. 382 al. 1 CPP), le recours est recevable.</w:t>
      </w:r>
    </w:p>
    <w:p>
      <w:r>
        <w:rPr>
          <w:b/>
        </w:rPr>
        <w:t>E. 2.1.1</w:t>
      </w:r>
    </w:p>
    <w:p>
      <w:r>
        <w:t>Le séquestre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Selon l'art. 263 al. 1 CPP,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 et/ou qu'ils devront être confisqués (let. d). Aux termes de l’art. 266 al. 3 CPP, si des immeubles sont séquestrés, une restriction au droit de les aliéner est ordonnée et mentionnée au registre foncier.</w:t>
      </w:r>
    </w:p>
    <w:p>
      <w:r>
        <w:rPr>
          <w:b/>
        </w:rPr>
        <w:t>E. 2.1.2</w:t>
      </w:r>
    </w:p>
    <w:p>
      <w:r>
        <w:t>Dans le cadre de l'examen d'un séquestre conservatoire, l'autorité statue sous l'angle de la vraisemblance, examinant des prétentions encore incertaines. Le séquestre pénal est en effet une mesure conservatoire provisoire destinée à préserver les objets ou valeurs qui peuvent servir de moyens de preuve, que le juge du fond pourrait être amené à confisquer ou à restituer au lésé, ou qui pourraient servir à l'exécution d'une créance compensatrice (art. 263 al. 1 CPP et 71 al. 3 CP). Tant que l'instruction n'est pas achevée, une simple probabilité suffit (ATF 140 IV 57 consid. 4.1.1). L'autorité doit pouvoir statuer rapidement (cf. art. 263 al. 2 CPP), ce qui exclut qu'elle résolve des questions juridiques complexes ou qu'elle attende d'être renseignée de manière exacte et complète sur les faits avant d'agir (ATF 141 IV 360 consid. 3.2; ATF 140 IV 57 consid. 4.1.2; TF 1B_667/2021 du 19 avril 2022; TF 1B_481/2021 du 4 novembre 2021 consid. 2.2; TF 1B_362/2020 du 20 août 2020 consid. 2.4).</w:t>
      </w:r>
    </w:p>
    <w:p>
      <w:r>
        <w:rPr>
          <w:b/>
        </w:rPr>
        <w:t>E. 2.1.3</w:t>
      </w:r>
    </w:p>
    <w:p>
      <w:r>
        <w:t>A teneur de l’art. 71 al. 1 CP, lorsque les valeurs patrimoniales à confisquer ne sont plus disponibles, le juge ordonne leur remplacement par une créance compensatrice de l’État d’un montant équivalent; elle ne peut être prononcée contre un tiers que dans la mesure où les conditions prévues à l’art. 70 al. 2 CP ne sont pas réalisées. Selon l'art. 71 al. 3 CP, l'autorité d'instruction peut placer sous séquestre, en vue de l'exécution d'une créance compensatrice, des éléments du patrimoine de la personne concernée; le séquestre ne donne pas de droit de préférence en faveur de l'Etat lors de l'exécution forcée de la créance compensatrice. Un séquestre est proportionné lorsqu'il porte sur des avoirs dont on peut admettre en particulier qu'ils pourront être vraisemblablement confisqués ou restitués en application du droit pénal. Tant que l'instruction n'est pas achevée et que subsiste une probabilité de confiscation, de créance compensatrice ou d'une allocation au lésé, la mesure conservatoire doit être maintenue (ATF 141 IV 360 consid. 3.2); l'intégralité des fonds doit demeurer à disposition de la justice aussi longtemps qu'il existe un doute sur la part de ceux-ci qui pourrait provenir d'une activité criminelle (TF 1B_143/2022 du 30 août 2022 consid. 4.1; TF 1B_269/2018 du 26 septembre 2018 consid. 4.1) et un séquestre ne peut donc être levé que dans l'hypothèse où il est d'emblée manifeste et indubitable que les conditions matérielles d'une confiscation ne sont pas réalisées et ne pourront pas l'être (ATF 140 IV 133 consid. 4.2.1; ATF 139 IV 250 consid. 2.1). Cependant, les probabilités d'une confiscation, respectivement du prononcé d'une créance compensatrice, doivent se renforcer au cours de l'instruction (ATF 122 IV 91 consid. 4). Un séquestre peut apparaître disproportionné lorsque la procédure dans laquelle il s'inscrit s'éternise sans motifs suffisants (ATF 132 I 229 consid. 11.6). Il faut en outre que la quotité de cette mesure reste en rapport avec le produit de l'infraction poursuivie (ATF 130 II 329 consid. 6). Il n'en va pas différemment dans l'hypothèse particulière où le séquestre tend uniquement à garantir une éventuelle créance compensatrice. Certes, ce type de séquestre peut porter sur tous les biens, valeurs et/ou revenus de l'intéressé sans qu'un lien de connexité avec l'infraction ne soit exigé (ATF 141 IV 360 consid. 3.2; ATF 140 IV 57 consid. 4.1.2 p. 63 s.). Toutefois, tant que l'étendue de la mesure ne paraît pas manifestement violer le principe de proportionnalité, notamment sous l'angle du respect des conditions minimales d'existence (ATF 141 IV 360 consid. 3.2; TF 1B_123/2022 du 9 août 2022 consid. 2.1; TF 1B_157/2007 du 25 octobre 2007 consid. 2.6; TF 1P.21/2007 du 2 mai 2007 consid. 4.3), le séquestre doit être maintenu. C'est devant le juge du fond au moment du prononcé de la créance compensatrice que la situation personnelle, notamment financière, du prévenu sera prise en considération (cf. art. 71 al. 2 CP; ATF 141 IV 360 consid. 3.2).</w:t>
      </w:r>
    </w:p>
    <w:p>
      <w:r>
        <w:rPr>
          <w:b/>
        </w:rPr>
        <w:t>E. 2.1.4</w:t>
      </w:r>
    </w:p>
    <w:p>
      <w:r>
        <w:t>La loi autorise le juge à prononcer la confiscation de valeurs patrimoniales qui sont le résultat d'une infraction ou qui étaient destinées à décider ou à récompenser l'auteur d'une infraction, si elles ne doivent pas être restituées au lésé en rétablissement de ses droits (art. 70 al. 1 CP). Inspirée de l'adage selon lequel « le crime ne doit pas payer », cette mesure a pour but d'éviter qu'une personne puisse tirer avantage d'une infraction (ATF 145 IV 237 consid. 3.2.1 p. 242; ATF 141 IV 155 consid. 4.1 p. 162; ATF 140 IV 57 consid. 4.1.1 p. 62 et les références citées; TF 6B_67/2019 du 16 décembre 2020 consid. 5.2). La confiscation suppose un comportement qui réunisse les éléments constitutifs objectifs et subjectifs d'une infraction et qui soit illicite. Elle peut cependant être ordonnée alors même qu'aucune personne déterminée n'est punissable, ou lorsque l'auteur de l'acte répréhensible ne peut être puni en l'absence de culpabilité ou parce qu'il est décédé (ATF 141 IV 155 consid. 4.1 p. 162 et les références citées). La confiscation suppose également un lien de causalité tel que l'obtention des valeurs patrimoniales apparaisse comme la conséquence directe et immédiate de l'infraction (ATF 145 IV 237 consid. 3.2.1 p. 242; ATF 141 IV 155 consid. 4.1 p. 162 et les références citées; TF 6B_67/2019 du 16 décembre 2020 consid. 5.2).</w:t>
      </w:r>
    </w:p>
    <w:p>
      <w:r>
        <w:rPr>
          <w:b/>
        </w:rPr>
        <w:t>E. 2.1.5</w:t>
      </w:r>
    </w:p>
    <w:p>
      <w:r>
        <w:t>Conformément à l'art. 70 al. 2 CP, la confiscation n'est pas prononcée lorsqu'un tiers a acquis les valeurs dans l'ignorance des faits qui l'auraient justifiée, et cela dans la mesure où il a fourni une contre-prestation adéquate ou si la confiscation se révèle d'une rigueur excessive. L'esprit et le but de la confiscation excluent en effet que la mesure puisse porter préjudice à des valeurs acquises de bonne foi dans le cadre d'un acte juridique conforme à la loi (ATF 115 IV 175 consid. 2b/bb p. 178; TF 1B_343/2019 du 23 janvier 2020 consid. 4.1). Les deux conditions posées à l'art. 70 al. 2 CP, sont cumulatives. Si elles ne sont pas réalisées, la confiscation peut être prononcée alors même que le tiers a conclu une transaction en soi légitime, mais a été payé avec le produit d'une infraction. S'agissant de la contre-prestation, elle n'est pas adéquate lorsque les valeurs patrimoniales ont été remises à titre gratuit (TF 1B_426/2017 du 28 février 2018 consid. 3.2 et la référence citée). Quant à la clause de rigueur, elle n'a qu'une portée limitée. Il ne suffit pas que la mesure de confiscation à l'égard du tiers soit disproportionnée. A teneur du texte légal, il faut que la mesure frappe de manière particulièrement incisive le tiers dans sa situation économique (TF 6B_67/2019 du 16 décembre 2020 consid. 5.3; TF 6B_664/2014 du 22 février 2018 consid. 8.3; TF 6S.298/2005 du 24 février 2006 consid. 4.2).</w:t>
      </w:r>
    </w:p>
    <w:p>
      <w:r>
        <w:rPr>
          <w:b/>
        </w:rPr>
        <w:t>E. 2.2</w:t>
      </w:r>
    </w:p>
    <w:p>
      <w:r>
        <w:t>p. 183; TF 1B_307/2017, 1B_308/2017 et 1B_316/2017 du 16 octobre 2017 consid. 4). Au vu de ces principes, le moyen déduit de la violation du droit d’être entendu fait fi du risque que susciterait en pareille hypothèse une audition préalable des intéressés, auxquels il suffirait de mettre à profit l’intervalle – aussi bref soit-il – séparant l’audition de la notification de l’ordonnance de séquestre à la banque pour transférer au moins une partie de leurs avoirs pour échapper à toute mesure de contrainte. L’art. 263 CPP en serait vidé de sa substance. C’est bien pour ce motif que la jurisprudence ne consacre aucun droit à être entendu préalablement en matière de séquestre. On précisera à cet égard que les conditions générales applicables aux comptes bancaires courants (ou à vue) ne comportent pas de préavis de retrait, ce qui est de nature à faciliter de tels transferts.</w:t>
      </w:r>
    </w:p>
    <w:p>
      <w:r>
        <w:rPr>
          <w:b/>
        </w:rPr>
        <w:t>E. 2.2.1</w:t>
      </w:r>
    </w:p>
    <w:p>
      <w:r>
        <w:t>La décision litigieuse est fondée sur l'art. 263 al. 1 let. d CPP, respectivement, s’agissant de l’immeuble, sur l’art. 266 al. 3 CPP, motif pris que les recourants sont, nonobstant leur bonne foi, susceptibles d’avoir profité d’infractions commises par J.________ et U.________. En effet, un montant pouvant constituer une partie du gain réputé illicite issu de la vente d’actions du 24 janvier 2020 a été versé au crédit d’un compte bancaire dont les recourants étaient les ayant droits, avant d’être réparti par eux sur d’autres comptes dont ils avaient également la maîtrise. La somme de 3'066'690 fr. 14 ainsi encaissée proviendrait d’une vente à prix massivement surfait, de sorte qu’elle n’aurait pas fait l’objet d’une contre-prestation adéquate au sens de l’art. 70 al. 2 CP. Il s’ensuit, toujours selon le Procureur, que le produit de la vente échu à I.________ et R.________ pourrait être entièrement sujet à confiscation, respectivement pourrait faire l’objet d’une créance compensatrice pour le solde non confisqué.</w:t>
      </w:r>
    </w:p>
    <w:p>
      <w:r>
        <w:rPr>
          <w:b/>
        </w:rPr>
        <w:t>E. 2.2.2</w:t>
      </w:r>
    </w:p>
    <w:p>
      <w:r>
        <w:t>Dans un premier moyen, les recourants invoquent que l’ordonnance de séquestre doit être annulée car la vente des actions de B.________ a, selon eux, fait l’objet d’une contre-prestation adéquate en faveur de I.________. Ils considèrent en particulier que l’appréciation du Ministère public selon laquelle la valeur de la société lors de la vente d’actions du 24 janvier 2020 était proche de zéro ne repose sur aucun élément de preuve tangible. Ils mettent également en cause la force probante du rapport de [...], qu’ils tiennent pour « une analyse commandée par la plaignante seule, à l’exclusion du Ministère public ». Ils soutiennent également que les séquestres de leurs comptes bancaires contreviennent à la proportionnalité, vu les entraves que ces mesures occasionnent dans le paiement de leurs factures courantes et ce d’autant qu’ils sont sans revenus, hormis les loyers encaissés; à cet égard, ils font valoir que [...] et [...] ne dégagent pas encore de bénéfice, cette société-là étant tributaire d’une ligne de crédit octroyée par [...]. Les recourants ajoutent enfin qu’ils n’ont pas été entendus par le Procureur avant le prononcé des mesures en cause. Ils en déduisent que le magistrat a statué dans l’ignorance de leur situation patrimoniale, donc en violation de leur droit d’être entendu. A toutes fins utiles, ils précisent être mariés sous le régime de la participation aux acquêts.</w:t>
      </w:r>
    </w:p>
    <w:p>
      <w:r>
        <w:rPr>
          <w:b/>
        </w:rPr>
        <w:t>E. 2.3.1</w:t>
      </w:r>
    </w:p>
    <w:p>
      <w:r>
        <w:t>Il doit d’abord être statué sur le moyen déduit de la violation du droit d’être entendu. Comme cela ressort de la jurisprudence citée ci-dessus, l'autorité statue sous l'angle de la vraisemblance, examinant des prétentions encore incertaines; tant que l'instruction n'est pas achevée, une simple probabilité suffit et l'autorité doit pouvoir statuer rapidement. La jurisprudence a précisé que la direction de la procédure peut procéder à une appréciation anticipée des preuves (ATF 141 I 60 consid. 3.3 p. 64; ATF 140 I 285 consid. 6.3.1 p. 229) et peut limiter son examen aux griefs pertinents (ATF 141 IV 249 consid. 1.3.1 p. 253; ATF 139 IV 179 consid.</w:t>
      </w:r>
    </w:p>
    <w:p>
      <w:r>
        <w:rPr>
          <w:b/>
        </w:rPr>
        <w:t>E. 2.3.2</w:t>
      </w:r>
    </w:p>
    <w:p>
      <w:r>
        <w:t>Pour ce qui est des autres moyens du recours, il doit d’abord être relevé qu’il est, en l’état, établi au degré de vraisemblance requis que la cession du capital social de B.________ le 24 janvier 2020 a procédé d’infractions pénales portant sur 3'066'690 fr. 14, pour ne mentionner que la part versée aux recourants. Ce montant est particulièrement élevé, indépendamment de savoir qui doit, toujours à ce stade, être tenu pour auteur, coauteur ou complice de toutes ou parties de ces infractions présumées. Ces soupçons suffisants de commission de diverses infractions ne se sont pas amoindris mais, bien plutôt, se sont étendus depuis l’ouverture de l’enquête. Il n’appartient au surplus pas à la Chambre de céans d’opposer tous les éléments à charge et à décharge, mais seulement de constater, sous l’angle de la vraisemblance, que les conditions posées à l’art. 197 al. 1 let. b et d CPP sont remplies, s’agissant d’infractions graves. La première condition posée par l’art. 70 al. 1 CP est donc réalisée.</w:t>
      </w:r>
    </w:p>
    <w:p>
      <w:r>
        <w:rPr>
          <w:b/>
        </w:rPr>
        <w:t>E. 2.3.3</w:t>
      </w:r>
    </w:p>
    <w:p>
      <w:r>
        <w:t>Sous l’angle de la bonne foi au sens de l’art 70 al. 2 CP, aucun élément ne permet de supposer, à ce stade, que les recourants aient perçu le prix de vente des actions de B.________ anciennement propriétés de I.________, alors même qu’ils devaient se douter que celui-ci provenait vraisemblablement d’une infraction, moins encore qu’ils aient eu connaissance d’actes délictueux. La première condition posée par l’art. 70 al. 2 CP est donc réalisée.</w:t>
      </w:r>
    </w:p>
    <w:p>
      <w:r>
        <w:rPr>
          <w:b/>
        </w:rPr>
        <w:t>E. 2.3.4</w:t>
      </w:r>
    </w:p>
    <w:p>
      <w:r>
        <w:t>Quant à savoir si la vente des actions a fait l’objet d’une contre-prestation adéquate au sens de l’art 70 al. 2 CP de la part des recourants, singulièrement de I.________, l’élément d’appréciation déterminant est que le prix de vente était, en l’état, très largement surévalué, comme l’expose l’ordonnance avec clarté, ceci en lien avec l’activité délictueuse présumée de J.________ et de U.________. En effet, ainsi que le relève le Procureur, force est de considérer, toujours à ce stade, qu’aucun investisseur raisonnable ne se serait porté acquéreur du capital social de B.________ pour le prix global de 49'833'000 fr. s’il avait su que les comptes de l’entreprise avaient été falsifiés plusieurs années durant, en particulier que les produits des ventes qui y figuraient étaient grossièrement surévalués, à telle enseigne que la société est tombée en faillite quelque 20 mois plus tard. Il est manifeste que les éventuelles malversations comptables ont présenté la situation financière de la société sous un jour favorable. Les recourants n’invoquent aucun motif qui serait de nature à expliquer une péjoration abrupte de cette situation qui serait survenue durant cet intervalle, soit peu après la cession de capital social du 24 janvier 2020, et l’on n’en discerne aucun. En l’état, les circonstances de la faillite commandent donc de considérer que les actifs de la société étaient particulièrement bas par rapport à ses passifs, peut-être même inférieurs, bien que l’appréciation de certains actifs immatériels (brevets éventuels, notamment) soit malaisée, notamment en cas de liquidation forcée. Au stade du séquestre, aucune mesure d’instruction n’entre en ligne de compte pour cerner plus avant la valeur nette de la société lors de la cession du capital-actions le 24 janvier 2020, contrairement à ce qu’affirment les recourants. Le moyen du recours déduit du défaut d’exorbitance entre le prix de vente des actions et la part de la valeur de la société représentée par chacun des titres tombe donc à faux ; au stade du séquestre, il est infirmé par la brièveté du délai séparant la vente des actions du prononcé de la faillite et par les analyses financières effectuées. Toujours en l’état, la contre-prestation n’apparaît ainsi pas adéquate au sens légal. En particulier, tenue de statuer au regard de la seule vraisemblance, l’autorité de recours ne saurait ordonner des mesures d’instruction tendant à une évaluation anticipée de la valeur de B.________ au 24 janvier 2020, respectivement des éventuels dividendes en faveur des créanciers sociaux. Toujours à l’aune de la vraisemblance, les différents éléments d’appréciation apparaissent ainsi suffisants à ce stade de l’enquête, s’agissant notamment des rapports de [...]. Au demeurant, la valeur exacte des actions dépend directement du résultat de l’enquête instruite contre J.________ et U.________ relative à la falsification des comptes plusieurs années durant, de sorte qu’elle ne saurait être tranchée précisément dans le cadre du présent recours, vu le pouvoir d’appréciation dont dispose le juge du séquestre. Dès lors, les mesures d’instruction sollicitées dans le recours et dans l’écriture complémentaire du 9 février 2023 ne sauraient être ordonnées en procédure de séquestre par l’autorité de recours, vu les exigences particulières de la jurisprudence quant au pouvoir de cognition du juge en la matière. Cela étant, les recourants ne contestent pas avoir encaissé, sur le compte n° IBAN CH57 [...] ouvert à leurs noms, la somme de 3'066'690 fr. 14 provenant de cette opération. Ils se sont ainsi enrichis conjointement, dans une mesure importante, par la vente de titres d’une société qui est tombée peu après en faillite, donc d’une valeur nette devant être réputée particulièrement basse. La deuxième condition posée par l’art 70 al. 2 CP qui interdit de prononcer le séquestre n’est donc pas réalisée.</w:t>
      </w:r>
    </w:p>
    <w:p>
      <w:r>
        <w:rPr>
          <w:b/>
        </w:rPr>
        <w:t>E. 2.3.5</w:t>
      </w:r>
    </w:p>
    <w:p>
      <w:r>
        <w:t>Sous l’angle de la proportionnalité du séquestre, il suffit de relever qu'il porte sur des avoirs dont on peut admettre en particulier qu'ils pourront être vraisemblablement confisqués ou restitués en application du droit pénal. La Cour ajoute que l'hypothèse où il est d'emblée manifeste et indubitable que les conditions matérielles d'une confiscation ne sont pas réalisées et ne pourront pas l'être n’apparaît nullement réalisée. Le fait que les recourants ne soient pas prévenus dans la procédure n’y change rien, pas plus que leur absence d’antécédents pénaux. Pour le reste, on ne saurait considérer que la mesure les frappe de manière particulièrement incisive dans leur situation économique. En effet, les comptes liés à la gestion de leur immeuble (n° IBAN [...], [...] et [...]) ne sont pas concernés par le séquestre et la restriction au droit d’aliéner cet élément de patrimoine ne prive pas les propriétaires de la faculté d’en encaisser les loyers. En outre, les recourants n’ont produit aucune pièce en lien avec leur situation financière, de sorte qu’on ne saurait admettre que le séquestre se révèle d’une rigueur excessive. Toute mesure d’instruction complémentaire à cet égard, et notamment l’audition des parties requise, ne saurait qu’être vaine, vu le pouvoir de cognition du juge du séquestre, déjà rappelé, et le fait, également déjà mentionné, que les parties n’ont pas produit de pièces en lien avec leur situation financière.</w:t>
      </w:r>
    </w:p>
    <w:p>
      <w:r>
        <w:rPr>
          <w:b/>
        </w:rPr>
        <w:t>E. 2.4</w:t>
      </w:r>
    </w:p>
    <w:p>
      <w:r>
        <w:t>Les conditions du séquestre sont donc réalisées. S’agissant de l’immeuble, cette mesure revêt, comme déjà relevé, la forme d’une restriction au droit d’aliéner mentionnée au registre foncier. A cet égard, sachant que les deux recourants ont bénéficié dans la même mesure du produit des infractions présumées, dès lors que les fonds ont été virés sur des comptes dont ils sont cotitulaires, il n’y a pas lieu de réserver un traitement différent à la part de copropriété de l’épouse pour l’exempter du séquestre. Les conclusions subsidiaires du recours doivent ainsi être rejetées.</w:t>
      </w:r>
    </w:p>
    <w:p>
      <w:r>
        <w:rPr>
          <w:b/>
        </w:rPr>
        <w:t>E. 3</w:t>
      </w:r>
    </w:p>
    <w:p>
      <w:r>
        <w:t>Au vu de ce qui précède, le recours, manifestement mal fondé, doit être rejeté sans échange d’écritures (art. 390 al. 2 CPP) et l’ordonnance du 25 octobre 2022 confirmée. Les frais de la procédure de recours, constitués en l’espèce de l’émolument d'arrêt, par 1’870 fr. (art. 20 al. 1 TFIP [tarif des frais judiciaires de procédure et indemnités en matière pénale du 28 septembre 2010; BLV 312.03.1]), seront mis à la charge des recourants, qui succombent (cf. art. 428 al. 1 CPP), solidairement entre eux (art. 418 al. 2 CPP). Par ces motifs, la Chambre des recours pénale prononce : I. Le recours est rejeté. II. L’ordonnance du 25 octobre 2022 est confirmée. III. Les frais d’arrêt, par 1'870 fr. (mille huit cent septante francs), sont mis à la charge de I.________ et de R.________, solidairement entre eux. IV. L’arrêt est exécutoire . La présidente :               Le greffier : Du Le présent arrêt, dont la rédaction a été approuvée à huis clos, est notifié, par l'envoi d'une copie complète, à : - Me Elie Elkaim, avocat (pour I.________ et R.________), - Ministère public central, et communiqué, pour ce qui est de son seul dispositif, à : ‑ F.________, Département juridique, [...],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