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313 vom 2. Mai 2023</w:t>
      </w:r>
    </w:p>
    <w:p>
      <w:r>
        <w:t>VD Tribunal cantonal, 2023-05-02, FR</w:t>
      </w:r>
    </w:p>
    <w:p>
      <w:r>
        <w:rPr>
          <w:b/>
        </w:rPr>
        <w:t xml:space="preserve">Quelle: </w:t>
      </w:r>
      <w:r>
        <w:t>https://mcp.opencaselaw.ch/entscheid/vd_findinfo_D_cision___2023___313</w:t>
      </w:r>
    </w:p>
    <w:p>
      <w:r>
        <w:t>FR: VD_FINDINFO Décision / 2023 / 313 du 2 mai 2023</w:t>
      </w:r>
    </w:p>
    <w:p>
      <w:r>
        <w:t>IT: VD_FINDINFO Décision / 2023 / 313 del 2 maggio 2023</w:t>
      </w:r>
    </w:p>
    <w:p>
      <w:pPr>
        <w:pStyle w:val="Heading2"/>
      </w:pPr>
      <w:r>
        <w:t>Regeste</w:t>
      </w:r>
    </w:p>
    <w:p>
      <w:r>
        <w:t>LIBÉRATION CONDITIONNELLE, AMENDEMENT, PRONOSTIC, REJET DE LA DEMANDE | 86 al. 1 CP</w:t>
      </w:r>
    </w:p>
    <w:p>
      <w:pPr>
        <w:pStyle w:val="Heading2"/>
      </w:pPr>
      <w:r>
        <w:t>Erwägungen</w:t>
      </w:r>
    </w:p>
    <w:p>
      <w:r>
        <w:rPr>
          <w:b/>
        </w:rPr>
        <w:t>E. 1.1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et auprès de l’autorité compétente, par le condamné qui a qualité pour recourir (cf. art. 382 al. 1 CPP), le recours est recevable.</w:t>
      </w:r>
    </w:p>
    <w:p>
      <w:r>
        <w:rPr>
          <w:b/>
        </w:rPr>
        <w:t>E. 2.1</w:t>
      </w:r>
    </w:p>
    <w:p>
      <w:r>
        <w:t>Le recourant invoque d’abord une violation du droit d’être entendu en lien avec le rejet de sa réquisition tendant à la production d’un rapport du psychiatre qui le suit en détention. Il prétend qu’un rapport de son psychiatre « aurait apporté des éléments importants sur la demande de libération conditionnelle » et que l'art. 29 al. 2 Cst (Constitution fédérale de la Confédération suisse du 18 avril 1999 ; RS 101) aurait été violé.</w:t>
      </w:r>
    </w:p>
    <w:p>
      <w:r>
        <w:rPr>
          <w:b/>
        </w:rPr>
        <w:t>E. 2.2</w:t>
      </w:r>
    </w:p>
    <w:p>
      <w:r>
        <w:t>Le droit d'être entendu, garanti par l'art. 29 al. 2 Cst et par l'art. 3 al. 2 let. c CPP, confère notamment à toute personne le droit de s'expliquer avant qu'une décision soit prise à son détriment. Le droit d'être entendu confère aussi, entre autres facultés, celle d'obtenir qu'il soit donné suite à ses offres de preuve pertinentes, lorsque cela est de nature à influer sur la décision à rendre. La juridiction de recours administre, d'office ou à la demande d'une partie, les preuves complémentaires nécessaires au traitement du recours. Des preuves sont nécessaires lorsqu'elles peuvent influer sur l'issue de la procédure (ATF 147 IV 409 consid. 5.3.2 et la réf. citée). Le refus d'instruire ne viole le droit d'être entendu que si l'appréciation anticipée de la pertinence du moyen de preuve offert, à laquelle le juge a ainsi procédé, est entachée d'arbitraire (ATF 144 II 427 consid. 3.1.3 ; ATF 141 I 60 consid. 3.3 ; ATF 136 I 229 consid. 5.3 ; TF 6B_1355/2022 du 22 mars 2023 consid. 3.2 ; TF 6B_509/2013 du 5 novembre 2013 et réf. citées).</w:t>
      </w:r>
    </w:p>
    <w:p>
      <w:r>
        <w:rPr>
          <w:b/>
        </w:rPr>
        <w:t>E. 2.3</w:t>
      </w:r>
    </w:p>
    <w:p>
      <w:r>
        <w:t>Dans le cas particulier, il convient de relever que le recourant se contente d’invoquer la violation de son droit d'être entendu et le fait qu’un rapport de son psychiatre aurait amené des « éléments importants », mais n’expose pas en quoi le raisonnement fait par le premier juge serait arbitraire, ni du reste en quoi l’élément de preuve en cause pourrait renverser l’appréciation que ce dernier a faite sur le pronostic. De ce point de vue, il est douteux que l’argument tiré de la violation du droit d'être entendu soit recevable au regard des exigences posées à l’art. 385 al. 1 CPP. Quoi qu’il en soit, l’appréciation de la Juge d’application des peines quant au rejet de la réquisition incidente ne peut qu’être approuvée. Le rapport d’expertise du 7 octobre 2021 (P. 3/5, déjà citée) est relativement récent et émane d’experts judiciaires. L’appréciation des experts est confirmée par le comportement ultérieur du condamné, ce même jusqu’à l’audience du 9 février 2023. Amplement décrite, notamment par la direction de la Prison de la Croisée dans un compte-rendu postérieur de plus d’un an au rapport d’expertise (P. 3/13, déjà citée), cette attitude témoigne d’une évidente propension à l’agressivité et même à la violence, ainsi que d’une faible tolérance à la frustration. Le dossier ne comporte aucun élément qui permettrait d’envisager une modification récente des symptômes relevés par les experts, singulièrement pas une amélioration de ceux-ci. Il s’agit bien plutôt d’un trouble de la personnalité solidement établi et donc peu susceptible de modification à bref délai, même s’il n’est évidemment pas immuable. Un avis du médecin traitant n’est dès lors pas susceptible de fournir de plus amples éléments d’appréciation. Les avis figurant au dossier permettent, dans leur ensemble, de poser un pronostic quant au comportement futur du condamné (cf. consid. 3.3.3 ci-dessous). A l’opposé, d’abord, le rapport médical que le condamné appelle de ses vœux ne constituerait pas un avis d’expert, mais une simple opinion du médecin traitant ; ensuite, de son propre aveu, le recourant ne l’a vu que deux fois depuis son transfert aux Etablissements de la Plaine de l’Orbe (P. 8, l. 120), même s’il bénéficiait d’un suivi depuis un an et quatre mois à la date de l’audience de la Juge d’application des peines (P. 8, ll. 119-120). Partant, même s’il était recevable, le moyen devrait être rejeté.</w:t>
      </w:r>
    </w:p>
    <w:p>
      <w:r>
        <w:rPr>
          <w:b/>
        </w:rPr>
        <w:t>E. 3.1</w:t>
      </w:r>
    </w:p>
    <w:p>
      <w:r>
        <w:t>Sur le fond, le recourant conteste l’appréciation de la Juge d’application des peines en soutenant qu’un pronostic favorable pourrait être posé moyennant un suivi ambulatoire au sens de l’art. 63 CP assorti d’une assistance de probation. Il invoque qu’il a accepté le suivi ambulatoire et l’assistance de probation, et que le rapport de la FVP retient qu’il fait preuve d’un amendement « à tout le moins partiel ». Il fait valoir que son comportement en détention n’est pas déterminant et que, même s’il a eu « quelques sanctions disciplinaires », ledit rapport relève qu’il s’est toujours montré « poli et adéquat dans son approche avec notre service » et qu’il est « assidu au travail ». S’agissant de ses projets d’avenir, il invoque qu’il bénéficie du soutien de sa famille et de liens avec sa fille.</w:t>
      </w:r>
    </w:p>
    <w:p>
      <w:r>
        <w:rPr>
          <w:b/>
        </w:rPr>
        <w:t>E. 3.2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w:t>
      </w:r>
    </w:p>
    <w:p>
      <w:r>
        <w:rPr>
          <w:b/>
        </w:rPr>
        <w:t>E. 3.3.1</w:t>
      </w:r>
    </w:p>
    <w:p>
      <w:r>
        <w:t>En l’espèce, le recourant a exécuté les deux tiers de ses peines le 28 février 2023. La première des trois conditions cumulatives posées par l’art. 86 al. 1 CP est ainsi remplie.</w:t>
      </w:r>
    </w:p>
    <w:p>
      <w:r>
        <w:rPr>
          <w:b/>
        </w:rPr>
        <w:t>E. 3.3.2</w:t>
      </w:r>
    </w:p>
    <w:p>
      <w:r>
        <w:t>Le comportement du condamné durant l'exécution des peines doit être qualifié de très mauvais, notamment au vu des sept sanctions disciplinaires dont il a fait l’objet, majoritairement en raison de violences verbales, voire physiques. Ce comportement apparait suffisamment négatif pour, à lui seul, justifier le refus de la libération conditionnelle. Le fait que, par ailleurs, le recourant se soit montré poli et adéquat avec les intervenants de la FVP est à cet égard indifférent, un tel comportement étant attendu de tout un chacun. De toute manière, la libération conditionnelle doit être refusée, au vu des considérations qui suivent.</w:t>
      </w:r>
    </w:p>
    <w:p>
      <w:r>
        <w:rPr>
          <w:b/>
        </w:rPr>
        <w:t>E. 3.3.3</w:t>
      </w:r>
    </w:p>
    <w:p>
      <w:r>
        <w:t>S’agissant du pronostic quant à son comportement futur, les arguments du recourant – qui consistent à mettre en avant les points positifs du dossier, mais sans tenir compte des autres éléments à prendre en considération – ne convainquent pas. Le rapport de la FVP dont se réclame le recourant doit céder le pas aux conclusions des experts psychiatres et aux avis des divers intervenants, qui, comme déjà relevé, sont relativement récents, voire très récent s’agissant du rapport du 8 novembre 2022 de la direction de la Prison de la Croisée. Du reste, l’avis de la FVP est plus circonspect que ne le soutient le recourant, dès lors que le préavis favorable émis était subordonné à la mise en place d’une assistance de probation, notamment afin d’effectuer un juste rappel du cadre. La FVP a donc pris en compte la propension à la violence et le manque d’amendement du condamné. Ces facteurs de mauvais pronostic sont amplement décrits dans le rapport d’expertise et confirmés par le comportement de l’intéressé en détention et même à l’audience du 9 février 2023. Avec la Juge d’application des peines, force est ainsi que constater que le condamné, s’il paraît certes s’impliquer dans son suivi thérapeutique et bénéficie désormais d’un soutien familial, n’a pas pour autant pris conscience de son trouble de la personnalité, des conséquences de ses addictions et de l’importance de son suivi thérapeutique, dès lors qu’il persiste à imputer ses passages à l’acte essentiellement à des facteurs exogènes ; qui plus est, ses lourds antécédents sur une longue période et les sanctions disciplinaires prononcées à son égard de manière récurrente dénotent son inaccessibilité à la répression. De même, sa propension à la violence verbale et même physique est établie par son comportement envers ses codétenus et les agents de détention. Le recourant tente de minimiser la gravité de son état, ainsi lors de l’audience du 9 février 2023, ce qui ne rassure pas davantage. Ses propos à la même occasion trahissent son manque d’amendement. Surtout, les conclusions des experts psychiatres établissent qu’en raison de son trouble de la personnalité, le condamné présente d’importants facteurs de risque de réitération de nouvelles infractions, y compris contre l'intégrité corporelle. Les perspectives thérapeutiques ne sont pas favorables à court terme, de sorte qu’un suivi ambulatoire au sens de l’art. 63 CP assorti d’une assistance de probation ne pourrait suffire à juguler le risque de réitération à bref délai, celui-ci étant, comme déjà relevé, tenu pour élevé à dire d’expert, s’agissant d’un délinquant d’habitude. Pour le reste, même si cet élément n’est pas déterminant à lui seul, ses projets de vie en liberté apparaissent encore inaboutis, notamment au sujet de ses moyens de subsistance, étant rappelé que, selon l’art. 66c al. 3 CP, l’expulsion est exécutée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et que, selon l’art. 61 al. 1 let. e LEI (Loi fédérale sur les étrangers et l’intégration ; RS 142.20), l’autorisation prend fin lorsque l’expulsion au sens de l’art. 66a CP, notamment, entre en force ; il s’ensuit que, jusqu’à l’entrée en force du chiffre V du jugement d’appel – seul contesté devant le Tribunal fédéral –, la situation du recourant du point de vue de son droit de séjourner en Suisse n’est pas réglée. Au demeurant, celui-ci ne présente aucun projet professionnel, que ce soit en Suisse ou en Bolivie. Les facteurs de risque sont donc particulièrement significatifs. Ils imposent ainsi la plus grande prudence. En l’état, au terme d’une appréciation globale de tous les éléments pertinents, il apparaît dès lors qu'il y a lieu de craindre que le condamné commette de nouveaux crimes ou de nouveaux délits. Partant, la troisième des conditions cumulatives posées par l’art. 86 al. 1 CP n’est également pas réalisée.</w:t>
      </w:r>
    </w:p>
    <w:p>
      <w:r>
        <w:rPr>
          <w:b/>
        </w:rPr>
        <w:t>E. 4</w:t>
      </w:r>
    </w:p>
    <w:p>
      <w:r>
        <w:t>En définitive, le recours, manifestement mal fondé, doit être rejeté sans échange d’écritures (art. 390 al. 2 CPP) et l’ordonnance entreprise confirmée. Le recourant a requis l’assistance judiciaire pour la procédure de recours, son défenseur d’office déjà désigné l’étant en cette même qualité. Cette requête est superflue. En effet, selon les dispositions du CPP autres que celles sur le recours, qui s’appliquent par analogie, le droit à une défense d’office vaut pour toutes les étapes de la procédure (art. 38 al. 2 LEP ; Harari/Aliberti, in : Kuhn/ Jeanneret/Perrier Depeursinge [éd.], Commentaire romand, Code de procédure pénale suisse, Bâle 2019, n. 1 ad art. 134 CPP). Il n’y a ainsi pas matière à nouvelle désignation par l’autorité de recours d’un défenseur d’office déjà désigné par l’autorité inférieure, à la différence de ce que prévoit l’art. 119 al. 5 CPC en matière civile (cf. not. CREP 30 mars 2023/255 consid. 8) . Les frais de procédure, constitués en l’espèce de l’émolument d’arrêt, par 1'870 fr. (art. 20 al. 1 TFIP [tarif des frais de procédure et indemnités en matière pénale du 28 septembre 2010 ; BLV 312.03.1]), ainsi que des frais imputables à la défense d’office (art. 422 al. 1 et 2 let. a CPP), fixés à 540 fr., pour trois heures d’activité nécessaire d’avocat au tarif horaire de 180 fr., honoraires auxquels il convient d’ajouter des débours forfaitaires à concurrence de 2 % (art. 3 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27 février 2023 est confirmée. III. L’indemnité allouée au défenseur d’office de Z.________ est fixée à 594 fr. (cinq cent nonante-quatre francs). IV. Les frais d’arrêt, par 1'870 fr. (mille huit cent septante francs), ainsi que l’indemnité due au défenseur d’office de Z.________, par 594 fr. (cinq cent nonante-quatre francs), sont mis à la charge de ce dernier. V. Le remboursement à l’Etat de l’indemnité allouée au chiffre III ci-dessus ne sera exigible que pour autant que la situation financière de Z.________ le permette. VI. L’arrêt est exécutoire. La présidente :               Le greffier : Du Le présent arrêt, dont la rédaction a été approuvée à huis clos, est notifié, par l'envoi d'une copie complète, à : - Me Cléo Buchheim, avocate (pour Z.________), - Ministère public central, et communiqué à : ‑ Mme la Juge d’application des peines, - Mme la Procureure du Ministère public cantonal Strada, - Office d’exécution des peines (OEP/PPL/139002/VRI/GRI),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