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299 vom 17. März 2023</w:t>
      </w:r>
    </w:p>
    <w:p>
      <w:r>
        <w:t>VD Tribunal cantonal, 2023-03-17, FR</w:t>
      </w:r>
    </w:p>
    <w:p>
      <w:r>
        <w:rPr>
          <w:b/>
        </w:rPr>
        <w:t xml:space="preserve">Quelle: </w:t>
      </w:r>
      <w:r>
        <w:t>https://mcp.opencaselaw.ch/entscheid/vd_findinfo_D_cision___2023___299</w:t>
      </w:r>
    </w:p>
    <w:p>
      <w:r>
        <w:t>FR: VD_FINDINFO Décision / 2023 / 299 du 17 mars 2023</w:t>
      </w:r>
    </w:p>
    <w:p>
      <w:r>
        <w:t>IT: VD_FINDINFO Décision / 2023 / 299 del 17 marzo 2023</w:t>
      </w:r>
    </w:p>
    <w:p>
      <w:pPr>
        <w:pStyle w:val="Heading2"/>
      </w:pPr>
      <w:r>
        <w:t>Regeste</w:t>
      </w:r>
    </w:p>
    <w:p>
      <w:r>
        <w:t>CONSULTATION DU DOSSIER, SÉQUESTRE{MESURE PROVISIONNELLE}, INTÉRESSÉ, TIERS NON IMPLIQUÉ | 69 al. 1 CP, 70 al. 1 CP, 101 CPP (CH), 105 al. 1 let. f CPP (CH), 263 al. 1 let. b CPP (CH), 263 al. 1 let. d CPP (CH)</w:t>
      </w:r>
    </w:p>
    <w:p>
      <w:pPr>
        <w:pStyle w:val="Heading2"/>
      </w:pPr>
      <w:r>
        <w:t>Erwägungen</w:t>
      </w:r>
    </w:p>
    <w:p>
      <w:r>
        <w:rPr>
          <w:b/>
        </w:rPr>
        <w:t>E. 1.1</w:t>
      </w:r>
    </w:p>
    <w:p>
      <w:r>
        <w:t>Une ordonnance de séquestre (art. 263 CPP) rendue par le Ministère public dans le cadre de la procédure préliminaire est susceptible de recours selon les art. 393 ss CPP (Lembo/Julen Berthod, in : Jeanneret/Kuhn/Perrier Depeursinge [éd.], op. cit., n. 4 ad art. 267 CPP ; Moreillon/Parein-Reymond, Code de procédure pénale, Petit commentaire, 2 e éd., Bâle 2016, n. 24 ad art. 263 CPP).</w:t>
      </w:r>
    </w:p>
    <w:p>
      <w:r>
        <w:rPr>
          <w:b/>
        </w:rPr>
        <w:t>E. 1.2</w:t>
      </w:r>
    </w:p>
    <w:p>
      <w:r>
        <w:t>En l’espèce, le recours dirigé contre l’ordonnance de séquestre du 8 février 2023 a été déposé en temps utile, devant l’autorité compétente. En outre, il satisfait également aux conditions de forme posées par l’art. 385 al. 1 CPP. Comme l’a déjà considéré la Cour de céans dans son précédent arrêt sur cet objet (CREP 30 mai 2022/366 consid. 1.2), en tant que propriétaire du véhicule concerné, la recourante peut se prévaloir d’un intérêt juridique à obtenir l’annulation ou la modification de la décision entreprise, de sorte qu’elle dispose de la qualité pour recourir au sens de l’art. 382 al. 1 CPP contre l’ordonnance de séquestre du 8 février 2023 (TF 1B_461/2017 du 8 janvier 2018 consid. 1). Le recours est donc recevable. Les pièces nouvelles produites sont également recevables (art. 390 al. 4 in fine CPP et les réf. déjà citées).</w:t>
      </w:r>
    </w:p>
    <w:p>
      <w:r>
        <w:rPr>
          <w:b/>
        </w:rPr>
        <w:t>E. 2.1</w:t>
      </w:r>
    </w:p>
    <w:p>
      <w:r>
        <w:t>La recourante plaide essentiellement le fond, en exposant que son activité économique aurait été pratiquement à l’arrêt durant le printemps 2020 en raison de la pandémie de Covid. Elle en déduit que le crédit sollicité l’avait été de manière légitime, alors qu’il n’était pas possible de déterminer l’ampleur exacte de la crise sanitaire sur la marche des affaires. Si sa situation financière apparaîtrait actuellement meilleure que ce qu’on pouvait craindre à l’époque, cela serait positif dans la perspective d’un remboursement des prêts. S’agissant en particulier du motocycle séquestré, [...], en tant que bureau central des organismes de cautionnement, n’aurait rien trouvé à redire dans un courrier adressé le 8 novembre 2021 à la fiduciaire de la recourante (P. 5, produite avec le recours). Ainsi, toujours selon la recourante, l’instance chargée de contrôler la conformité des crédits Covid aurait validé le crédit octroyé à la recourante et son utilisation. Elle ajoute que la motocyclette en question était utilisée notamment par son gérant pour se rendre sur les chantiers, notamment ceux situés en ville, où il peut être très difficile de circuler et de stationner. Quant à l’infraction de gestion déloyale, à raison de laquelle est prévenu notamment [...], il serait choquant qu’un bien appartenant à la partie supposée lésée soit confisqué pour payer les frais de justice ou autres liés à la procédure pénale, ce qui appauvrirait une seconde fois la société. Enfin, le séquestre serait totalement disproportionné, la motocyclette séquestrée ayant été acquise pour un montant de 5’300 fr., de sorte que le coût de la conservation du véhicule auprès de la fourrière, soit 150 fr. par mois en moyenne, risquerait d’être plus élevé que la valeur de ce véhicule à l’issue d’une procédure pénale s’étendant sur de nombreux mois.</w:t>
      </w:r>
    </w:p>
    <w:p>
      <w:r>
        <w:rPr>
          <w:b/>
        </w:rPr>
        <w:t>E. 2.2</w:t>
      </w:r>
    </w:p>
    <w:p>
      <w:r>
        <w:t>En l’espèce, l’arrêt rendu le 14 avril 2022 impose au Ministère public des exigences de motivation rigoureuses pour tout nouveau refus, total ou même seulement partiel, de consulter le dossier opposé à la recourante. La Procureure a satisfait à cette exigence en exposant de manière circonstanciée que les pièces 58 et suivantes, produites après la première consultation du dossier par la recourante, ne concernaient que [...], associée gérante de la recourante avec signature individuelle jusqu’au 14 juillet 2021. Il est vrai que ces documents se rapportent également à la société, s’agissant notamment d’une plainte déposée le 19 juillet 2022 par Cautionnement Romand, société coopérative, avec diverses pièces produites à l’appui, ainsi que de demandes de renseignements du Ministère public auprès de tiers et les réponses obtenues. La procédure n’en est toutefois qu’à ses débuts s’agissant de la prévenue, qui, comme déjà relevé, est l’épouse de [...], désormais associé gérant de la société avec signature individuelle depuis le 14 juillet 2021. Le Ministère public procède actuellement à l’administration des preuves principales, la Procureure n’ayant pas encore procédé à l’audition de la prévenue. Qui plus est, la recourante est désormais dirigée par [...], ce qui implique un fort risque que toute information obtenue par celui-ci profite directement à la prévenue [...]. Force est donc d’admettre, en l’état, que la restriction partielle d’accès au dossier se justifie. Enfin, comme le relève le Ministère public, l’ordonnance de séquestre du 8 février 2023, à laquelle renvoie expressément l’ordonnance ultérieure du 16 février 2023, comporte une ample et précise description des charges pesant sur la prévenue, ainsi du reste que sur le coprévenu, s’agissant en particulier des indications données au sujet de l’acquisition, en crédit-bail, d’une Range Rover et de l’achat du motocycle Honda objet du séquestre. Ces indications ont suffi à permettre à la recourante de contester utilement le séquestre du motocycle en recourant contre l’ordonnance rendue sur cet objet (cf. ci-dessous).</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soupçons suffisants laissant présumer la commission d’une infraction par la ou des personnes visées par la procédure pénale (art. 197 al. 1 CPP). Au début de l’enquête, il est admis qu’un soupçon crédible ou un début de preuve de l’existence de l’infraction reprochée suffise à permettre le séquestre, ce qui laisse une grande place à l’appréciation du juge (Julen Berthod, in : Jeanneret/Kuhn/Perrier Depeursinge [éd.],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dans le cadre de l'examen d'un séquestre, l'autorité statue sous l'angle de la vraisemblance, examinant des prétentions encore incertaines. La mesure doit pouvoir être ordonnée rapidement, ce qui exclut la résolution de questions juridiques complexes (ATF 141 IV 360 consid. 3.2 ; voir les arrêts cités par Julen Berthod, in :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références citées ; Julen Berthod, in : op. cit., n. 26 ad art. 263 CPP et les références citées).</w:t>
      </w:r>
    </w:p>
    <w:p>
      <w:r>
        <w:rPr>
          <w:b/>
        </w:rPr>
        <w:t>E. 2.2.2</w:t>
      </w:r>
    </w:p>
    <w:p>
      <w:r>
        <w:t>Le séquestre en vue de confiscation prévu par l’art. 263 al. 1 let. d CPP consiste en la confiscation de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consid. 1.2.3 et les arrêts cités). Tant que l’instruction n’est pas achevée, une simple probabilité suffit (ATF 140 IV 57 consid. 4.1.1). L'autorité doit pouvoir décider rapidement du séquestre provisoire (cf. art. 263 al. 2 CPP), ce qui exclut qu'elle résolve des questions juridiques complexes ou qu'elle attende d'être renseignée de manière exacte et complète sur les faits avant d'agir (ATF 141 IV 360 consid. 3.2 ; ATF 140 IV 57 précité consid. 4.1.2 ; TF 1B_667/2021 du 19 avril 2022). Un séquestre est proportionné lorsqu’il porte sur des avoirs dont on peut admettre, prima facie , qu'ils pourront être confisqués en application du droit pénal fédéral (ATF 144 IV 285 consid. 2.2, JdT 2019 IV 3 ; TF 1B_343/2020 du 3 septembre 2020 consid. 3.1). Tant que l'instruction n'est pas achevée et que subsiste une probabilité de confiscation, de créance compensatrice ou d'une allocation au lésé, la mesure conservatoire doit être maintenue (ATF 141 IV 360 précité ; ATF 140 IV 57 précité consid. 4.1.1 ; TF 1B_398/2022 du 13 décembre 2022 consid. 5.3) ; l'intégralité des fonds doit demeurer à disposition de la justice aussi longtemps qu'il existe un doute sur la part de ceux-ci qui pourrait provenir d'une activité criminelle (TF 1B_398/2022 précité ; TF 1B_144/2022 du 30 août 2022 consid. 3.1 ; TF 1B_343/2020 précité) et un séquestre ne peut donc être levé que dans l'hypothèse où il est d'emblée manifeste et indubitable que les conditions matérielles d'une confiscation ne sont pas réalisées et ne pourront pas l'être (ATF 140 IV 133 consid. 4.2.1 ; ATF 139 IV 250 consid. 2.1). Cependant, les probabilités d'une confiscation, respectivement du prononcé d'une créance compensatrice, doivent se renforcer au cours de l'instruction (ATF 122 IV 91 consid. 4 ; TF 1B_398/2022 précité ; TF 1B_144/2022 précité).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w:t>
      </w:r>
    </w:p>
    <w:p>
      <w:r>
        <w:rPr>
          <w:b/>
        </w:rPr>
        <w:t>E. 2.2.3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144 IV 1 consid. 4.2.4 ; ATF 140 IV 57 précité consid. 4.1.2 ; TF 1B_398/2022 précité consid. 5.2), faute pour l’art. 71 al. 3 CP de l’exiger. La possibilité pour l’autorité d’instruction de placer sous séquestre, en vue de l’exécution d’une créance compensatrice, des valeurs patrimoniales appartenant à « la personne concernée » découle directement de cette dernière disposition. Par « personne concernée », il faut entendre non seulement l’auteur, mais aussi, à certaines conditions, un tiers favorisé, d’une manière ou d’une autre, par l’infraction (cf. art. 71 al. 1 CP renvoyant à l’art. 70 al. 2 CP ; TF 1B_213/2013 du 27 septembre 2013 consid. 4.1 ; TF 1B_583/2012 du 31 janvier 2013 consid. 2.1 et les références citées). Conformément à l’art. 70 al. 2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 TF 1B_343/2019 du 23 janvier 2020 consid. 4.1). Les deux conditions posées à l'art. 70 al. 2 CP sont cumulatives. Si elles ne sont pas réalisées, la confiscation peut être prononcée alors même que le tiers a conclu une transaction en soi légitime, mais a été payé avec le produit d'une infraction. S'agissant de la contre-prestation, elle n'est pas adéquate lorsque les valeurs patrimoniales ont été remises à titre gratuit (TF 1B_426/2017 du 28 février 2018 consid. 3.2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(TF 6B_67/2019 du 16 décembre 2020 consid. 5.3 ; TF 6B_664/2014 du 22 février 2018 consid. 8.3 ; TF 6S.298/2005 du 24 février 2006 consid. 4.2). Le séquestre en vue de garantir une créance compensatrice est ainsi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précité ; ATF 140 IV 57 précité ; Moreillon/Parein-Reymond, op. cit., n. 8 ad remarques préliminaires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et les références citées). Au regard de la proportionnalité, tant que l’étendue de la mesure ne viole pas manifestement le principe de la proportionnalité, notamment sous l’angle du respect des conditions minimales d’existence, le séquestre en garantie d’une créance compensatrice doit être maintenu (ATF 141 IV 360 précité). C’est devant le juge du fond, au moment du prononcé de la créance compensatrice, que la situation personnelle, notamment financière, du prévenu sera prise en considération (cf. art. 71 al. 2 CP ; ATF 141 IV 360 précité).</w:t>
      </w:r>
    </w:p>
    <w:p>
      <w:r>
        <w:rPr>
          <w:b/>
        </w:rPr>
        <w:t>E. 2.2.4</w:t>
      </w:r>
    </w:p>
    <w:p>
      <w:r>
        <w:t>Comme toute autre mesure de séquestre, celui en couverture des frais de procédure, des peines pécuniaires, des amendes et des indemnités (art. 263 al. 1 let. b CPP) est fondé sur la vraisemblance. Tant que l'instruction n'est pas achevée, une simple probabilité suffit car la saisie se rapporte à des prétentions encore incertaines. L'autorité pénale doit pouvoir décider rapidement du séquestre provisoire (cf. art. 263 al. 2 CPP), ce qui, s’agissant de ce séquestre également, exclut qu'elle résolve des questions juridiques complexes ou qu'elle attende d'être renseignée de manière exacte et complète sur les faits avant d'agir (ATF 116 Ib 96 consid. 3a ; TF 1B_667/2021 du 19 avril 2022 consid. 2.1 ; TF 1B_162/2021 du 13 octobre 2021 consid. 2.1 ; TF 1B_136/2014 du 14 mai 2014 consid. 2.1).</w:t>
      </w:r>
    </w:p>
    <w:p>
      <w:r>
        <w:rPr>
          <w:b/>
        </w:rPr>
        <w:t>E. 2.3</w:t>
      </w:r>
    </w:p>
    <w:p>
      <w:r>
        <w:t>. L’art. 23 aOCaS-COVID-19 (Ordonnance sur l’octroi de crédits et de cautionnements solidaires à la suite du coronavirus du 25 mars 2020, abrogée par la Loi fédérale sur les crédits garantis par un cautionnement solidaire à la suite du coronavirus du 18 décembre 2020 [LCaS-COVID-19 ; RS 951.26]), prévoit que quiconque, intentionnellement, obtient un crédit en vertu de la présente ordonnance en fournissant de fausses indications ou utilise les fonds en dérogation à l’art. 6 al. 3 OCaS-COVID-19 est puni d’une amende de 100'000 fr. au plus, à moins qu’il n’ait commis une infraction plus grave au sens du code pénal. Aux termes de l'art. 6 al. 1 aOCaS-COVID-19 (correspondant à l’art. 2 al. 1 LCaS-COVID-19, cf. Message concernant la LCaS-COVID-19, FF 2020 pp. 8165 ss, spéc. 8188), le cautionnement solidaire visé par l'ordonnance a pour seul but de garantir les crédits bancaires destinés à satisfaire les besoins courants en liquidités du requérant. Selon le commentaire de l'OCaS-COVID-19 du 14 avril 2020 du Département fédéral des finances, p. 9, cela signifie que les crédits obtenus ne peuvent être utilisés que pour couvrir, par exemple, les frais de location ou de matériel encourus, les charges de personnel devant pour leur part être en grande partie couvertes par les mesures Covid-19 dans les domaines de la réduction de l’horaire de travail et des allocations pour perte de gain. L'art. 6 al. 3 aOCaS-COVID-19 (correspondant à l’art. 2 al. 2 LCaS-COVID-19, cf. Message précité, p. 8188) dispose notamment que sont exclus pendant la durée du cautionnement solidaire la distribution de dividendes et de tantièmes ainsi que le remboursement d’apports de capital (let. a). Dans son message, le Conseil fédéral a précisé que la notion de dividendes recouvrait les dividendes en nature ou en espèces, de même que les distributions de bénéfices effectuées par analogie avec les dividendes (Message précité, p. 8189). L’art. 23 aOCaS-COVID-19 est repris fondamentalement à l’art. 25 al. 1 LCaS-COVID-19 (cf. Message précité, p. 8215). Tombe ainsi sous le coup de la disposition pénale quiconque obtient intentionnellement un crédit Covid-19 en fournissant de fausses indications ou viole les prescriptions de l’art. 2 al. 2 LCaS-COVID-19, notamment l’interdiction générale de distribuer des dividendes (ibidem). 3. 3.1 En l’espèce, il doit d’abord être relevé que toute opération consistant à utiliser un crédit Covid-19 pour de nouveaux investissements immobilisés qui ne sont pas des investissements de remplacement tombe sous le coup de la loi (art. 6 al. 2 let. b aOCaS-COVID-19). 3.2 Quoi qu’en dise la recourante, il apparaît, en l’état, plus que vraisemblable que la contrevaleur du prêt Covid dont elle a bénéficié ait servi à des fins privées. Les éléments mis en avant par le Ministère public permettent de supposer qu’il en a notamment été ainsi du motocycle dont le séquestre est litigieux. Contrairement à ce que soutient la recourante, cet achat, pour un prix de 5'300 fr., n’entre manifestement pas dans la couverture des besoins de liquidités de l’entreprise. D’ailleurs, la recourante ne démontre pas, ni même ne rend un tant soit peu vraisemblable, qu’avant cette acquisition, un tel véhicule était déjà utilisé dans le cadre de ses activités, notamment pour se rendre sur les chantiers. Il apparaît ainsi plus que vraisemblable que l’argent provenant du prêt Covid dont elle a bénéficié ait servi à des fins privées et que ces deniers aient, partant, une origine illicite (cf. consid. 3.1 ci-dessus). Dès lors, ce véhicule semble bien provenir d’une infraction à l’aOCaS-COVID-19, ce qui n’exclut au demeurant nullement une origine en rapport avec les préventions d’escroquerie, de faux dans les titres ou de gestion déloyale. Partant, sa confiscation à l’issue de la procédure apparaît envisageable en cas de condamnation, de même que le prononcé d’une créance compensatrice en faveur de l’Etat. Il en va de même d’une éventuelle couverture des frais et des peines pécuniaires. Les conditions du séquestre du véhicule Honda NC 750 SD immatriculé VD [...] et de ses accessoires désignés dans l’ordonnance sont dès lors bien réunies. La Cour ajoutera qu’il pourra être remédié à la dépréciation éventuelle du motocycle et aux coûts de la fourrière par la voie d’un ordre de réalisation anticipée, comme cela a été le cas de la Porsche Cayenne séquestrée le 8 février 2022. 3.3 Le recours dirigé contre l’ordonnance de séquestre du 8 février 2023, manifestement mal fondé, doit être rejeté sans échange d’écritures (art. 390 al. 2 CPP) et cette ordonnance confirmée. Frais Au vu de ce qui précède, les frais d'arrêt pour les deux recours, par 1'760 fr. (art. 20 al. 1 TFIP [tarif des frais de procédure et indemnités en matière pénale du 28 septembre 2010 ; BLV 312.03.1]), seront mis à la charge de la recourante, qui succombe (art. 428 al. 1 CPP). Par ces motifs, la Chambre des recours pénale prononce : I. Le recours contre l’ordonnance de séquestre du 8 février 2023 est rejeté. II. L’ordonnance du 8 février 2023 est confirmée. III. Le recours contre l’ordonnance de refus partiel de consulter le dossier du 16 février 2023 est rejeté. IV. L’ordonnance du 16 février 2023 est confirmée. V. Les frais d’arrêt, par 1'760 fr. (mille sept cent soixante francs), sont mis à la charge de S.________ . VI. L’arrêt est exécutoire. La présidente :               Le greffier : Du Le présent arrêt, dont la rédaction a été approuvée à huis clos, est notifié, par l'envoi d'une copie complète, à : - Me Jean-Samuel Leuba, avocat (pour S.________), - Ministère public central, et communiqué à : ‑ Mme la Procureure de l’arrondissement de Lausanne, - Bureau des séquestres de la police cantonale vaudoise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 TF 1B_343/2020 précité ; cf. aussi ATF 140 IV 57 précité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