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26 vom 8. November 2022</w:t>
      </w:r>
    </w:p>
    <w:p>
      <w:r>
        <w:t>VD Tribunal cantonal, 2022-11-08, FR</w:t>
      </w:r>
    </w:p>
    <w:p>
      <w:r>
        <w:rPr>
          <w:b/>
        </w:rPr>
        <w:t xml:space="preserve">Quelle: </w:t>
      </w:r>
      <w:r>
        <w:t>https://mcp.opencaselaw.ch/entscheid/vd_findinfo_D_cision___2023___26</w:t>
      </w:r>
    </w:p>
    <w:p>
      <w:r>
        <w:t>FR: VD_FINDINFO Décision / 2023 / 26 du 8 novembre 2022</w:t>
      </w:r>
    </w:p>
    <w:p>
      <w:r>
        <w:t>IT: VD_FINDINFO Décision / 2023 / 26 del 8 novembre 2022</w:t>
      </w:r>
    </w:p>
    <w:p>
      <w:pPr>
        <w:pStyle w:val="Heading2"/>
      </w:pPr>
      <w:r>
        <w:t>Regeste</w:t>
      </w:r>
    </w:p>
    <w:p>
      <w:r>
        <w:t>ORDONNANCE DE NON-ENTRÉE EN MATIÈRE, MOTIVATION DE LA DEMANDE | 310 CPP (CH), 385 CPP (CH)</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6B_510/2020 du 15 septembre 2020 consid. 2.2 ; TF 1B_472/2019 du 29 octobre 2019 consid. 3.1 ; TF 6B_120/2016 du 20 juin 2016 consid. 3.1 ; Keller, in Donatsch/Lieber/Summers/Wohlers (éd.), Zürcher Kommentar, Kommentar zur Schweizerischen Strafprozessordnung, 3 e éd. 2020, n. 14 ad art. 396 StPO et les réf. cit. ; Guidon, in Niggli/Heer/Wiprächtiger (éd.), Basler Kommentar, Schweizerische Strafprozessordnung, 2 e éd. 2014, n. 9c ad art. 396 StPO et les réf. cit. ; Calame, in : Kuhn/Jeanneret/Perrier Depeursinge [éd.], Commentaire romand, Code de procédure pénale suisse, 2 e éd. 2019, n. 20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 cit. ; cf. aussi CREP 11 septembre 2020/694 consid. 4.3.1).</w:t>
      </w:r>
    </w:p>
    <w:p>
      <w:r>
        <w:rPr>
          <w:b/>
        </w:rPr>
        <w:t>E. 1.3</w:t>
      </w:r>
    </w:p>
    <w:p>
      <w:r>
        <w:t>En substance, dans son recours, N.________ soutient que la plainte qu’il a déposée le 9 mars 2020 contre la Cheffe du [...] et sa requête tendant à la nomination d’un procureur extraordinaire pour instruire sa plainte du 30 juin 2021 seraient justifiées. Il en déduit que l’ordonnance de non-entrée en matière rendue le 31 mars 2022 serait « de facto et indubitablement […] nulle et non avenue ». Il se contente ensuite de réitérer les griefs qu’il a formulés dans sa plainte du 30 juin 2021 à l’encontre de la Procureure T.________ (irrégularités lors de l’audition du 8 juin 2021, présence d’une stagiaire dont l’identité ne lui aurait pas été communiquée, absence de questions quant à sa compréhension du français, amalgame et agressivité de la procureure, signalement au [...]), puis soutient que le Procureur général le haïrait et qu’il aurait « un bilieux caractère de roitelet offusqué ». Le recourant reproche également au Procureur général de s’être déclaré incompétent pour contrôler les actes de procédure exécutés par les magistrats du Ministère public, de ne pas avoir motivé juridiquement en quoi sa plainte à l’encontre de la Procureure T.________ était mal fondée, d’avoir considéré qu’un signalement au [...] était possible et que le fait de couper la parole à un prévenu n’était pas constitutif d’une violation de ses droits procéduraux. Ce faisant, le recourant se contente de contester l’appréciation du Procureur général et de répéter les griefs qu’il a formulés dans les deux plaintes qu’il a déposées, sans développer, ni a fortiori démontrer, en quoi le raisonnement du Procureur général serait mal fondé. Une telle motivation est insuffisante au regard des exigences de l’art. 385 al. 1 CPP. Le recours est dès lors irrecevable. Cette question pourrait toutefois rester indécise, dès lors qu’à supposer recevable, le recours devrait de toute manière être rejeté sur le fond pour les motifs qui suivent.</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w:t>
      </w:r>
    </w:p>
    <w:p>
      <w:r>
        <w:t>Le recourant persiste à remettre en cause l’impartialité du Procureur général et lui reproche de ne pas avoir respecté la procédure de nomination d’un procureur extraordinaire. Ce faisant, le recourant ignore totalement la véritable chronologie des événements. En effet, par courrier du 5 juillet 2021 (P. 6/1), le Procureur général a donné suite à la demande dirigée contre lui en saisissant le Bureau du Grand Conseil. Par courrier du 19 août 2021, la Présidente du Grand Conseil a exposé au recourant que sa demande consistait en réalité en une demande de récusation du Procureur général, puis a transmis celle-ci au Tribunal cantonal comme objet de sa compétence. Par arrêt du 16 septembre 2021 (n° 847), confirmé par le Tribunal fédéral le 4 janvier 2022 (TF 1B_616/2021), la Chambre de céans a rejeté cette demande de récusation, de sorte que le Grand Conseil n’avait pas à nommer un procureur extraordinaire pour remplacer le Procureur général (cf. art. 6 al. 1 LMPu [Loi sur le Ministère public du 19 mai 2009 ; BLV 173.21] a contrario ). Ainsi, le Procureur général a été expressément autorisé à traiter la plainte déposée le 30 juin 2021 par N.________ à l’encontre de la Procureure T.________ et le recourant ne saurait reprocher quoi que ce soit à ce magistrat sur ce point. Le recourant reproche également au Procureur général de ne pas être intervenu à la suite des « entorses au CPP » qui auraient été commises par la Procureure T.________. Ce faisant, il se méprend sur les voies de droit à emprunter. Comme le Procureur général l’a relevé à juste titre, les actes d’instruction de cette procureure n’ont pas à être analysés dans le cadre de la présente procédure car le recourant disposait de moyens de droit propres conférés par le CPP dans l’hypothèse où il aurait été réellement confronté à un dysfonctionnement dans le traitement de sa plainte. En tant que le recours porte sur les griefs d’ordre procédural qu’il adresse à cette magistrate, il est irrecevable. Pour autant qu’on le comprenne, le recourant reproche en outre au Procureur général de ne pas avoir constaté que la Cheffe du [...] avait tenu des propos diffamatoires à son endroit. Là encore, le recourant se trompe de procédure car le Procureur général devait uniquement se prononcer sur la plainte qu’il avait déposée contre la Procureure T.________. La plainte du recourant contre la Cheffe du [...] a fait au demeurant l’objet d’une ordonnance de non-entrée en matière qui a été rendue le 28 avril 2020, puis confirmée le 11 mars 2021 par le Tribunal fédéral, de sorte que les moyens soulevés sont irrecevables. Pour le surplus, comme déjà indiqué, le recourant répète les griefs formulés dans sa plainte sans exposer de manière concrète en quoi le Procureur général aurait écarté un indice d’une infraction pénale qui aurait pu être commise par la Procureure T.________. Il persiste à se plaindre du déroulement de l’instruction et de la manière dont cette magistrate se serait comportée à son égard, sans établir précisément un manquement susceptible de constituer une telle infraction.</w:t>
      </w:r>
    </w:p>
    <w:p>
      <w:r>
        <w:rPr>
          <w:b/>
        </w:rPr>
        <w:t>E. 4</w:t>
      </w:r>
    </w:p>
    <w:p>
      <w:r>
        <w:t>En définitive, le recours, manifestement mal fondé, doit être rejeté dans la faible mesure où il est recevable, sans échange d’écritures (art. 390 al. 2 CPP), et l’ordonnance entreprise confirmée. Vu le sort du recours, les frais de la procédure, constitués en l’espèce du seul émolument d’arrêt, par 1’100 fr. (art. 20 al. 1 TFIP [Tarif des frais de procédure et indemnités en matière pénale du 28 septembre 2010 ; BLV 312.03.1]), seront mis à la charge du recourant, qui succombe (art. 428 al. 1CPP). Le montant de 550 fr. déjà versé par celui-ci à titre de sûretés sera imputé sur ces frais (art. 383 al. 1 CPP ; art.</w:t>
      </w:r>
    </w:p>
    <w:p>
      <w:r>
        <w:rPr>
          <w:b/>
        </w:rPr>
        <w:t>E. 7</w:t>
      </w:r>
    </w:p>
    <w:p>
      <w:r>
        <w:t>TFIP). Par ces motifs, la Chambre des recours pénale prononce : I. Le recours est rejeté dans la mesure où il est recevable. II. L’ordonnance du 31 mars 2022 est confirmée. III. Les frais d’arrêt, par 1’100 fr. (mille cent francs), sont mis à la charge de N.________. IV. Le montant de 550 fr. (cinq cent cinquante francs) déjà versé par le recourant à titre de sûretés est imputé sur les frais mis à sa charge au chiffre III ci-dessus. V. L’arrêt est exécutoire. La présidente :               La greffière : Du Le présent arrêt, dont la rédaction a été approuvée à huis clos, est notifié, par l'envoi d'une copie complète, à : - M. le Procureur général du canton de Vaud, - M. N.________.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