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223 vom 28. März 2023</w:t>
      </w:r>
    </w:p>
    <w:p>
      <w:r>
        <w:t>VD Tribunal cantonal, 2023-03-28, FR</w:t>
      </w:r>
    </w:p>
    <w:p>
      <w:r>
        <w:rPr>
          <w:b/>
        </w:rPr>
        <w:t xml:space="preserve">Quelle: </w:t>
      </w:r>
      <w:r>
        <w:t>https://mcp.opencaselaw.ch/entscheid/vd_findinfo_D_cision___2023___223</w:t>
      </w:r>
    </w:p>
    <w:p>
      <w:r>
        <w:t>FR: VD_FINDINFO Décision / 2023 / 223 du 28 mars 2023</w:t>
      </w:r>
    </w:p>
    <w:p>
      <w:r>
        <w:t>IT: VD_FINDINFO Décision / 2023 / 223 del 28 marzo 2023</w:t>
      </w:r>
    </w:p>
    <w:p>
      <w:pPr>
        <w:pStyle w:val="Heading2"/>
      </w:pPr>
      <w:r>
        <w:t>Regeste</w:t>
      </w:r>
    </w:p>
    <w:p>
      <w:r>
        <w:t>MOTIVATION DE LA DEMANDE, DROIT D'ÊTRE ENTENDU, DÉTENTION PROVISOIRE, PROPORTIONNALITÉ, RISQUE DE RÉCIDIVE | 29 al. 2 Cst., 212 al. 3 CPP (CH), 221 CPP (CH), 385 al. 1 CPP (CH)</w:t>
      </w:r>
    </w:p>
    <w:p>
      <w:pPr>
        <w:pStyle w:val="Heading2"/>
      </w:pPr>
      <w:r>
        <w:t>Erwägungen</w:t>
      </w:r>
    </w:p>
    <w:p>
      <w:r>
        <w:rPr>
          <w:b/>
        </w:rPr>
        <w:t>E. 1.1</w:t>
      </w:r>
    </w:p>
    <w:p>
      <w:r>
        <w:t>Le recours de A.H.________ a été interjeté dans le délai légal (art. 396 al. 1 CPP [Code de procédure pénale suisse du</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 e éd. 2020, n. 14 ad art. 396 StPO et les références citées ; Calame, in : Jeanneret et al. [éd.], Commentaire romand, Code de procédure pénale suisse, 2 e éd., Bâle 2019, n. 21 ad art. 385 CPP ; Guidon, in : Basler Kommentar, op. cit., n. 9c ad art. 396 StPO et les références citées).</w:t>
      </w:r>
    </w:p>
    <w:p>
      <w:r>
        <w:rPr>
          <w:b/>
        </w:rPr>
        <w:t>E. 1.3</w:t>
      </w:r>
    </w:p>
    <w:p>
      <w:r>
        <w:t>En l’espèce, en ce qui concerne ses griefs de violation du droit d’être entendu et de la proportionnalité de sa détention provisoire, le recours de A.H.________ est recevable. En revanche, s’agissant de sa conclusion subsidiaire, à savoir le prononcé de mesures de substitution, il est irrecevable, étant donné que le recourant n’a aucunement motivé cette conclusion dans son recours.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3. 3.1 Le recourant invoque une violation de son droit d’être entendu. Il fait grief au Ministère public de s’être uniquement référé à ses précédentes demandes sans indiquer, à ce stade de l’enquête, les raisons de l’existence des risques de collusion et de réitération. Il lui reproche aussi de n’avoir pas détaillé les mesures d’instruction en cours ou à intervenir susceptibles de justifier sa détention, l’empêchant ainsi de se déterminer efficacement. 3.2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143 IV 40 consid. 3.4.3 ; ATF 142 I 135 consid. 2.1).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aux questions décisives (ATF 143 III 65 précité ; ATF 142 III 433 consid. 4.3.2 ; TF 6B_946/2018 du 15 novembre 2018 consid. 1.1). La motivation peut d'ailleurs être implicite et résulter des différents considérants de la décision (ATF 141 V 557 consid. 3.2.1 ; TF 6B_817/2020 du 23 décembre 2020 consid. 1.2). La jurisprudence rendue en matière de prolongation de la détention provisoire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1B_252/2020 du 11 juin 2020 consid. 2.1 ; TF 1B_49/2016 du 25 février 2016 consid. 2 et les arrêts citées).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389 al. 3 et 391 al. 1 CPP ; CREP 29 avril 2021/174 ; CREP 19 mai 2020/378 ; CREP 20 août 2013/530). 3.3 En l’espèce, il importe peu de savoir si le Ministère public s’est référé à ses précédentes demandes, comme le relève le recourant, étant donné que seule l’autorité ayant rendu la décision entreprise, à savoir le Tribunal des mesures de contrainte, a pu violer son droit d’être entendu. S’agissant de l’existence de soupçons suffisants à l’encontre du prévenu et du risque de réitération, dans l’ordonnance du 8 mars 2023, le Tribunal des mesures de contrainte s’est référé à ses précédentes ordonnances ainsi qu’aux deux arrêts rendus par la Chambre des recours pénale les 7 octobre et 30 décembre 2022 et à celui du Tribunal fédéral du 1 er décembre 2022. Le tribunal a ajouté qu’un nouveau fait était reproché au prévenu, à savoir un vol de téléphone portable. Il a aussi expressément indiqué qu’en l’absence d’élément nouveau venant le remettre en question, le risque de réitération demeurait concret et il a précisé que l’argument du recourant selon lequel il aurait croisé son ex-belle-mère sans incident avait déjà été examiné par l’autorité cantonale dans son arrêt du 30 décembre 2022. Conformément à la jurisprudence en la matière citée ci-avant, en l’absence d’éléments nouveaux relevés par l’intéressé, le tribunal pouvait parfaitement se référer aux précédentes décisions rendues dans la présente cause. Cette appréciation était compréhensible et suffisante. A.H.________, qui n’alléguait aucun élément nouveau, était à même de contester celle-ci en connaissance de cause. Le droit d’être entendu du recourant n’a donc pas été violé. Au surplus, on ne voit pas en quoi le fait que le Ministère public n’ait pas détaillé les mesures d’instruction en cours ou à intervenir et que le tribunal ne se soit pas prononcé à cet égard soit pertinent. Le recourant se contente de l’invoquer, sans exposer en quoi ces griefs pourraient avoir une incidence en l’occurrence dans le cadre de l’application de l’art. 221 CPP. Au demeurant, les mesures d’instruction n’avaient aucun impact sur l’examen du risque de réitération et, étant donné que l’autorité a retenu l’existence d’un tel risque et que les risques mentionnés à l’art. 221 CPP sont alternatifs, il n’était pas nécessaire qu’elle se prononce sur cette question, le maintien du recourant en détention se justifiant déjà pour ce motif. Pour ces motifs, le grief de violation du droit d'être entendu doit être rejeté. 4. 4.1 Le recourant ne conteste pas formellement l’existence de charges suffisantes à son encontre, ni les risques de réitération et de collusion. 4.2 4.2.1 S’agissant des soupçons suffisants à l’encontre de A.H.________ et l’existence d’un risque de réitération, la motivation retenue par la Cour de céans dans son arrêt du 30 décembre 2022 (let. A/e ci-avant) reste d’actualité et il y a lieu de s’y référer. 4.2.2 Les conditions de l’art. 221 al. 1 CPP étant alternatives, il n’est pas nécessaire d’examiner l’existence d’un risque de collusion.</w:t>
      </w:r>
    </w:p>
    <w:p>
      <w:r>
        <w:rPr>
          <w:b/>
        </w:rPr>
        <w:t>E. 5</w:t>
      </w:r>
    </w:p>
    <w:p>
      <w:r>
        <w:t>octobre 2007 ; RS 312.0]) contre une décision du Tribunal des mesures de contrainte dans un cas prévu par le Code de procédure pénale (art. 393 al. 1 let. c CPP), par le prévenu détenu qui a qualité pour recourir (art. 222 et 382 al. 1 CPP).</w:t>
      </w:r>
    </w:p>
    <w:p>
      <w:r>
        <w:rPr>
          <w:b/>
        </w:rPr>
        <w:t>E. 5.1</w:t>
      </w:r>
    </w:p>
    <w:p>
      <w:r>
        <w:t>Le recourant considère, en se basant sur le jugement de la Cour d’appel pénale rendu à son encontre le 25 avril 2018 (n° 67), qu’au vu de la prolongation de trois mois ordonnée par le Tribunal des mesures de contrainte, la durée totale de sa détention, soit neuf mois, excèderait de manière manifeste la peine qu’il encourt.</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w:t>
      </w:r>
    </w:p>
    <w:p>
      <w:r>
        <w:rPr>
          <w:b/>
        </w:rPr>
        <w:t>E. 5.3</w:t>
      </w:r>
    </w:p>
    <w:p>
      <w:r>
        <w:t>En l’espèce, A.H.________, qui se contente de relever qu’il ignore les mesures d’instruction que le Ministère public a encore l’intention de prendre, n’invoque aucunement un retard important et caractérisé dans le déroulement de l’enquête pénale. De toute manière, les circonstances très exceptionnelles liées à la violation du principe de célérité qui justifieraient la libération du recourant ne sont manifestement pas remplies (TF 1B_514/2021 du 27 octobre 2021 consid. 2.2 et les références citées). En outre, comme l’a déjà relevé la Chambre des recours pénale dans ses précédents arrêts, les faits reprochés à A.H.________ peuvent s’avérer, à ce stade à tout le moins, constitutifs de voies de fait, d’injure, de menaces, d’insoumission à une décision de l’autorité et de vol. Or, l’infraction de vol est passible d’une peine privative de liberté de cinq ans au plus ou d’une peine pécuniaire et celle de menace d’une peine privative de liberté de trois ans au plus. Par ailleurs, les infractions entrent en concours et les antécédents du recourant sont significatifs. Contrairement à ce qu’il soutient, A.H.________ s’expose ainsi concrètement, en cas de condamnation, à une peine privative de liberté d’une durée sensiblement plus importante que celle de la détention provisoire subie du 16 septembre 2022 jusqu’à ce jour, respectivement à subir jusqu’au 14 juin 2023, à savoir neuf mois. La comparaison avec la peine privative de liberté infligée lors d’une précédente condamnation n’est pas pertinente. Partant, le principe de la proportionnalité demeure respecté.</w:t>
      </w:r>
    </w:p>
    <w:p>
      <w:r>
        <w:rPr>
          <w:b/>
        </w:rPr>
        <w:t>E. 6</w:t>
      </w:r>
    </w:p>
    <w:p>
      <w:r>
        <w:t>S’agissant d’éventuelles mesures de substitution à la détention, comme mentionné précédemment (consid. 1.3), le recours de A.H.________ est irrecevable. Par surabondance, les considérations de la Cour de céans dans ses précédents arrêts sont toujours d’actualité et il y a lieu de s’y référer (CREP 30 décembre 2022/999 consid. 6 et CREP 7 octobre 2022/748 consid. 4.2 et 5.2).</w:t>
      </w:r>
    </w:p>
    <w:p>
      <w:r>
        <w:rPr>
          <w:b/>
        </w:rPr>
        <w:t>E. 7</w:t>
      </w:r>
    </w:p>
    <w:p>
      <w:r>
        <w:t>Il résulte de ce qui précède que le recours, manifestement mal fondé, doit être rejeté, sans échange d’écritures, dans la mesure où il est recevable (art. 390 al. 2 CPP), et l’ordonnance entreprise confirmée. Les frais de la procédure de recours, par 1’540 fr. (art. 20 al. 1 TFIP [tarif des frais de procédure et indemnités en matière pénale du 28 septembre 2010 ; BLV 312.03.1]), ainsi que les frais imputables à la défense d’office (art. 422 al. 1 et 2 let. a CPP), fixés à 396 fr. en chiffres arrondis, qui comprennent des honoraires par 360 fr., pour deux heures d’activité nécessaire d’avocat, au tarif horaire de 180 fr., des débours forfaitaires par 7 fr. 20 (cf. art. 26b TFIP qui renvoie à l'art. 3bis RAJ [règlement sur l’assistance judiciaire en matière civile du 7 décembre 2010 ; BLV 211.02.3]) et la TVA sur le tout, au taux de 7,7%, par 28 fr. 30,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8 mars 2023 est confirmée. III. L’indemnité allouée au défenseur d’office de A.H.________ est fixée à 396 fr. (trois cent nonante-six francs). IV. Les frais d’arrêt, par 1’540 fr. (mille cinq cent quarante francs), ainsi que l’indemnité due au défenseur d’office de A.H.________, par 396 fr. (trois cent nonante-six francs), sont mis à la charge de ce dernier. V. Le remboursement à l'Etat de l'indemnité allouée au chiffre III ci-dessus ne sera exigible que pour autant que la situation financière de A.H.________ le permette. VI. L’arrêt est exécutoire. La présidente :               La greffière : Du Le présent arrêt, dont la rédaction a été approuvée à huis clos, est notifié, par l'envoi d'une copie complète, à : - Me Jérôme Reymond, avocat (pour A.H.________),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